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17AC" w14:textId="77777777" w:rsidR="005F5C2D" w:rsidRDefault="005F5C2D" w:rsidP="005F5C2D">
      <w:pPr>
        <w:pStyle w:val="CM21"/>
        <w:spacing w:after="240" w:line="440" w:lineRule="atLeast"/>
        <w:jc w:val="center"/>
        <w:rPr>
          <w:b/>
          <w:sz w:val="28"/>
        </w:rPr>
      </w:pPr>
      <w:r>
        <w:rPr>
          <w:b/>
          <w:sz w:val="28"/>
        </w:rPr>
        <w:t>DRAFT</w:t>
      </w:r>
    </w:p>
    <w:p w14:paraId="18BAEB38" w14:textId="1F548D95" w:rsidR="005F5C2D" w:rsidRPr="00DC59BA" w:rsidRDefault="005F5C2D" w:rsidP="00F863A5">
      <w:pPr>
        <w:pStyle w:val="CM21"/>
        <w:spacing w:after="240" w:line="440" w:lineRule="atLeast"/>
        <w:jc w:val="center"/>
        <w:rPr>
          <w:b/>
          <w:bCs/>
          <w:sz w:val="28"/>
          <w:szCs w:val="28"/>
        </w:rPr>
      </w:pPr>
      <w:r w:rsidRPr="00DC59BA">
        <w:rPr>
          <w:b/>
          <w:sz w:val="28"/>
        </w:rPr>
        <w:t>REQUEST FOR PROPOSALS</w:t>
      </w:r>
    </w:p>
    <w:p w14:paraId="55DE83A2" w14:textId="77777777" w:rsidR="005F5C2D" w:rsidRPr="00DC59BA" w:rsidRDefault="005F5C2D">
      <w:pPr>
        <w:widowControl w:val="0"/>
        <w:autoSpaceDE w:val="0"/>
        <w:autoSpaceDN w:val="0"/>
        <w:adjustRightInd w:val="0"/>
        <w:spacing w:after="240" w:line="440" w:lineRule="atLeast"/>
        <w:jc w:val="center"/>
        <w:rPr>
          <w:b/>
          <w:color w:val="000000"/>
          <w:sz w:val="28"/>
        </w:rPr>
      </w:pPr>
      <w:r w:rsidRPr="00DC59BA">
        <w:rPr>
          <w:b/>
          <w:color w:val="000000"/>
          <w:sz w:val="28"/>
        </w:rPr>
        <w:t>FOR</w:t>
      </w:r>
    </w:p>
    <w:p w14:paraId="546CB1D8" w14:textId="09C85417" w:rsidR="005F5C2D" w:rsidRDefault="005F5C2D">
      <w:pPr>
        <w:pStyle w:val="CM21"/>
        <w:spacing w:after="240" w:line="440" w:lineRule="atLeast"/>
        <w:jc w:val="center"/>
        <w:rPr>
          <w:b/>
          <w:bCs/>
          <w:sz w:val="28"/>
          <w:szCs w:val="28"/>
        </w:rPr>
      </w:pPr>
      <w:r w:rsidRPr="009A68D8">
        <w:rPr>
          <w:b/>
          <w:bCs/>
          <w:sz w:val="28"/>
          <w:szCs w:val="28"/>
        </w:rPr>
        <w:t>ENERGY STORAGE</w:t>
      </w:r>
    </w:p>
    <w:p w14:paraId="68EF9D0F" w14:textId="77777777" w:rsidR="005F5C2D" w:rsidRPr="00D31CFB" w:rsidRDefault="005F5C2D">
      <w:pPr>
        <w:pStyle w:val="CM21"/>
        <w:spacing w:after="240" w:line="440" w:lineRule="atLeast"/>
        <w:jc w:val="center"/>
        <w:rPr>
          <w:b/>
          <w:bCs/>
          <w:sz w:val="28"/>
          <w:szCs w:val="28"/>
        </w:rPr>
      </w:pPr>
      <w:bookmarkStart w:id="0" w:name="_Hlk43220959"/>
      <w:r>
        <w:rPr>
          <w:b/>
          <w:bCs/>
          <w:sz w:val="28"/>
          <w:szCs w:val="28"/>
        </w:rPr>
        <w:t>NORTH KOHALA</w:t>
      </w:r>
    </w:p>
    <w:bookmarkEnd w:id="0"/>
    <w:p w14:paraId="4B693060" w14:textId="77777777" w:rsidR="005F5C2D" w:rsidRPr="00B80B39" w:rsidRDefault="005F5C2D">
      <w:pPr>
        <w:pStyle w:val="CM23"/>
        <w:spacing w:line="636" w:lineRule="atLeast"/>
        <w:jc w:val="center"/>
        <w:rPr>
          <w:b/>
          <w:sz w:val="28"/>
          <w:szCs w:val="28"/>
        </w:rPr>
      </w:pPr>
      <w:r w:rsidRPr="00B80B39">
        <w:rPr>
          <w:b/>
          <w:sz w:val="28"/>
          <w:szCs w:val="28"/>
        </w:rPr>
        <w:t xml:space="preserve">ISLAND OF </w:t>
      </w:r>
      <w:proofErr w:type="spellStart"/>
      <w:r>
        <w:rPr>
          <w:b/>
          <w:sz w:val="28"/>
          <w:szCs w:val="28"/>
        </w:rPr>
        <w:t>HAWAI</w:t>
      </w:r>
      <w:r w:rsidRPr="00B80B39">
        <w:rPr>
          <w:b/>
          <w:sz w:val="28"/>
          <w:szCs w:val="28"/>
        </w:rPr>
        <w:t>ʻI</w:t>
      </w:r>
      <w:proofErr w:type="spellEnd"/>
    </w:p>
    <w:p w14:paraId="1D71AA3E" w14:textId="77777777" w:rsidR="005F5C2D" w:rsidRPr="00DC59BA" w:rsidRDefault="005F5C2D" w:rsidP="005F5C2D">
      <w:pPr>
        <w:widowControl w:val="0"/>
        <w:autoSpaceDE w:val="0"/>
        <w:autoSpaceDN w:val="0"/>
        <w:adjustRightInd w:val="0"/>
        <w:spacing w:after="1015"/>
        <w:jc w:val="center"/>
        <w:rPr>
          <w:sz w:val="28"/>
        </w:rPr>
      </w:pPr>
      <w:bookmarkStart w:id="1" w:name="_Hlk49955801"/>
      <w:r>
        <w:rPr>
          <w:sz w:val="28"/>
          <w:szCs w:val="28"/>
        </w:rPr>
        <w:t>SEPTEMBER 23, 2021</w:t>
      </w:r>
    </w:p>
    <w:bookmarkEnd w:id="1"/>
    <w:p w14:paraId="2C9CDE6C" w14:textId="34D0A1B2" w:rsidR="005F5C2D" w:rsidRDefault="005F5C2D" w:rsidP="005F5C2D">
      <w:pPr>
        <w:widowControl w:val="0"/>
        <w:autoSpaceDE w:val="0"/>
        <w:autoSpaceDN w:val="0"/>
        <w:adjustRightInd w:val="0"/>
        <w:spacing w:line="400" w:lineRule="atLeast"/>
        <w:jc w:val="center"/>
        <w:rPr>
          <w:sz w:val="28"/>
          <w:szCs w:val="28"/>
        </w:rPr>
      </w:pPr>
      <w:r w:rsidRPr="00DC59BA">
        <w:rPr>
          <w:sz w:val="28"/>
          <w:szCs w:val="28"/>
        </w:rPr>
        <w:t xml:space="preserve">Docket No. </w:t>
      </w:r>
      <w:r>
        <w:rPr>
          <w:sz w:val="28"/>
          <w:szCs w:val="28"/>
        </w:rPr>
        <w:t>TBD</w:t>
      </w:r>
    </w:p>
    <w:p w14:paraId="190D9D2B" w14:textId="77777777" w:rsidR="005F5C2D" w:rsidRDefault="005F5C2D" w:rsidP="005F5C2D">
      <w:pPr>
        <w:widowControl w:val="0"/>
        <w:autoSpaceDE w:val="0"/>
        <w:autoSpaceDN w:val="0"/>
        <w:adjustRightInd w:val="0"/>
        <w:spacing w:before="60" w:after="528" w:line="553" w:lineRule="atLeast"/>
        <w:jc w:val="center"/>
        <w:rPr>
          <w:bCs/>
          <w:i/>
          <w:sz w:val="44"/>
          <w:szCs w:val="44"/>
        </w:rPr>
      </w:pPr>
    </w:p>
    <w:p w14:paraId="3A533C7C" w14:textId="5AA811B3" w:rsidR="005F5C2D" w:rsidRDefault="005F5C2D" w:rsidP="005F5C2D">
      <w:pPr>
        <w:widowControl w:val="0"/>
        <w:autoSpaceDE w:val="0"/>
        <w:autoSpaceDN w:val="0"/>
        <w:adjustRightInd w:val="0"/>
        <w:spacing w:before="60" w:after="528" w:line="553" w:lineRule="atLeast"/>
        <w:jc w:val="center"/>
        <w:rPr>
          <w:bCs/>
          <w:i/>
          <w:sz w:val="44"/>
          <w:szCs w:val="44"/>
        </w:rPr>
      </w:pPr>
      <w:r w:rsidRPr="009704F4">
        <w:rPr>
          <w:bCs/>
          <w:i/>
          <w:sz w:val="44"/>
          <w:szCs w:val="44"/>
        </w:rPr>
        <w:t xml:space="preserve">Appendix </w:t>
      </w:r>
      <w:r>
        <w:rPr>
          <w:bCs/>
          <w:i/>
          <w:sz w:val="44"/>
          <w:szCs w:val="44"/>
        </w:rPr>
        <w:t>H</w:t>
      </w:r>
      <w:r w:rsidRPr="009704F4">
        <w:rPr>
          <w:bCs/>
          <w:i/>
          <w:sz w:val="44"/>
          <w:szCs w:val="44"/>
        </w:rPr>
        <w:t xml:space="preserve"> – </w:t>
      </w:r>
      <w:r>
        <w:rPr>
          <w:bCs/>
          <w:i/>
          <w:sz w:val="44"/>
          <w:szCs w:val="44"/>
        </w:rPr>
        <w:t>Interconnection Facilities Cost and Schedule Information</w:t>
      </w:r>
    </w:p>
    <w:p w14:paraId="26442DED" w14:textId="77777777" w:rsidR="005F5C2D" w:rsidRPr="009704F4" w:rsidRDefault="005F5C2D" w:rsidP="005F5C2D">
      <w:pPr>
        <w:widowControl w:val="0"/>
        <w:autoSpaceDE w:val="0"/>
        <w:autoSpaceDN w:val="0"/>
        <w:adjustRightInd w:val="0"/>
        <w:spacing w:before="60" w:after="528" w:line="553" w:lineRule="atLeast"/>
        <w:jc w:val="center"/>
        <w:rPr>
          <w:bCs/>
          <w:i/>
          <w:sz w:val="44"/>
          <w:szCs w:val="44"/>
        </w:rPr>
      </w:pPr>
    </w:p>
    <w:p w14:paraId="601BD9F5" w14:textId="2DEB195D" w:rsidR="00DF32A4" w:rsidRPr="00DF32A4" w:rsidRDefault="005F5C2D" w:rsidP="001B6850">
      <w:pPr>
        <w:widowControl w:val="0"/>
        <w:autoSpaceDE w:val="0"/>
        <w:autoSpaceDN w:val="0"/>
        <w:adjustRightInd w:val="0"/>
        <w:spacing w:before="60" w:after="160" w:line="260" w:lineRule="atLeast"/>
        <w:jc w:val="center"/>
        <w:rPr>
          <w:iCs/>
          <w:noProof/>
          <w:sz w:val="28"/>
          <w:szCs w:val="28"/>
          <w:lang w:val="haw-US"/>
        </w:rPr>
        <w:sectPr w:rsidR="00DF32A4" w:rsidRPr="00DF32A4" w:rsidSect="00DF32A4">
          <w:headerReference w:type="default" r:id="rId7"/>
          <w:footerReference w:type="default" r:id="rId8"/>
          <w:pgSz w:w="12240" w:h="15840"/>
          <w:pgMar w:top="1440" w:right="1440" w:bottom="1440" w:left="1440" w:header="720" w:footer="720" w:gutter="0"/>
          <w:cols w:space="720"/>
          <w:titlePg/>
          <w:docGrid w:linePitch="360"/>
        </w:sectPr>
      </w:pPr>
      <w:r>
        <w:rPr>
          <w:rFonts w:ascii="Helvetica" w:hAnsi="Helvetica"/>
          <w:noProof/>
        </w:rPr>
        <w:drawing>
          <wp:inline distT="0" distB="0" distL="0" distR="0" wp14:anchorId="560A86F4" wp14:editId="6CE82C2F">
            <wp:extent cx="5234609" cy="1261223"/>
            <wp:effectExtent l="0" t="0" r="4445" b="0"/>
            <wp:docPr id="1" name="Picture 1" descr="C:\Users\esweeney\Pictures\Hawaii Electric L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weeney\Pictures\Hawaii Electric Ligh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4609" cy="1261223"/>
                    </a:xfrm>
                    <a:prstGeom prst="rect">
                      <a:avLst/>
                    </a:prstGeom>
                    <a:noFill/>
                    <a:ln>
                      <a:noFill/>
                    </a:ln>
                  </pic:spPr>
                </pic:pic>
              </a:graphicData>
            </a:graphic>
          </wp:inline>
        </w:drawing>
      </w:r>
    </w:p>
    <w:sdt>
      <w:sdtPr>
        <w:rPr>
          <w:rFonts w:eastAsia="Times New Roman" w:cs="Times New Roman"/>
          <w:b w:val="0"/>
          <w:caps w:val="0"/>
          <w:sz w:val="24"/>
          <w:szCs w:val="24"/>
          <w:u w:val="none"/>
        </w:rPr>
        <w:id w:val="438341459"/>
        <w:docPartObj>
          <w:docPartGallery w:val="Table of Contents"/>
          <w:docPartUnique/>
        </w:docPartObj>
      </w:sdtPr>
      <w:sdtEndPr>
        <w:rPr>
          <w:bCs/>
          <w:noProof/>
        </w:rPr>
      </w:sdtEndPr>
      <w:sdtContent>
        <w:p w14:paraId="190B64BB" w14:textId="524A7251" w:rsidR="002B4536" w:rsidRDefault="002B4536" w:rsidP="00E62F8C">
          <w:pPr>
            <w:pStyle w:val="TOCHeading"/>
          </w:pPr>
          <w:r>
            <w:t>Table of Contents</w:t>
          </w:r>
        </w:p>
        <w:p w14:paraId="40A174CF" w14:textId="629615AD" w:rsidR="00294899" w:rsidRDefault="00E202C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82784874" w:history="1">
            <w:r w:rsidR="00294899" w:rsidRPr="00520E2F">
              <w:rPr>
                <w:rStyle w:val="Hyperlink"/>
                <w:noProof/>
              </w:rPr>
              <w:t>Section 1 – Cost Responsibilities</w:t>
            </w:r>
            <w:r w:rsidR="00294899">
              <w:rPr>
                <w:noProof/>
                <w:webHidden/>
              </w:rPr>
              <w:tab/>
            </w:r>
            <w:r w:rsidR="00294899">
              <w:rPr>
                <w:noProof/>
                <w:webHidden/>
              </w:rPr>
              <w:fldChar w:fldCharType="begin"/>
            </w:r>
            <w:r w:rsidR="00294899">
              <w:rPr>
                <w:noProof/>
                <w:webHidden/>
              </w:rPr>
              <w:instrText xml:space="preserve"> PAGEREF _Toc82784874 \h </w:instrText>
            </w:r>
            <w:r w:rsidR="00294899">
              <w:rPr>
                <w:noProof/>
                <w:webHidden/>
              </w:rPr>
            </w:r>
            <w:r w:rsidR="00294899">
              <w:rPr>
                <w:noProof/>
                <w:webHidden/>
              </w:rPr>
              <w:fldChar w:fldCharType="separate"/>
            </w:r>
            <w:r w:rsidR="00294899">
              <w:rPr>
                <w:noProof/>
                <w:webHidden/>
              </w:rPr>
              <w:t>1</w:t>
            </w:r>
            <w:r w:rsidR="00294899">
              <w:rPr>
                <w:noProof/>
                <w:webHidden/>
              </w:rPr>
              <w:fldChar w:fldCharType="end"/>
            </w:r>
          </w:hyperlink>
        </w:p>
        <w:p w14:paraId="0D0AFC39" w14:textId="57EF89CB"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75" w:history="1">
            <w:r w:rsidR="00294899" w:rsidRPr="00520E2F">
              <w:rPr>
                <w:rStyle w:val="Hyperlink"/>
                <w:noProof/>
              </w:rPr>
              <w:t>1.1 – Definitions</w:t>
            </w:r>
            <w:r w:rsidR="00294899">
              <w:rPr>
                <w:noProof/>
                <w:webHidden/>
              </w:rPr>
              <w:tab/>
            </w:r>
            <w:r w:rsidR="00294899">
              <w:rPr>
                <w:noProof/>
                <w:webHidden/>
              </w:rPr>
              <w:fldChar w:fldCharType="begin"/>
            </w:r>
            <w:r w:rsidR="00294899">
              <w:rPr>
                <w:noProof/>
                <w:webHidden/>
              </w:rPr>
              <w:instrText xml:space="preserve"> PAGEREF _Toc82784875 \h </w:instrText>
            </w:r>
            <w:r w:rsidR="00294899">
              <w:rPr>
                <w:noProof/>
                <w:webHidden/>
              </w:rPr>
            </w:r>
            <w:r w:rsidR="00294899">
              <w:rPr>
                <w:noProof/>
                <w:webHidden/>
              </w:rPr>
              <w:fldChar w:fldCharType="separate"/>
            </w:r>
            <w:r w:rsidR="00294899">
              <w:rPr>
                <w:noProof/>
                <w:webHidden/>
              </w:rPr>
              <w:t>1</w:t>
            </w:r>
            <w:r w:rsidR="00294899">
              <w:rPr>
                <w:noProof/>
                <w:webHidden/>
              </w:rPr>
              <w:fldChar w:fldCharType="end"/>
            </w:r>
          </w:hyperlink>
        </w:p>
        <w:p w14:paraId="797AD412" w14:textId="4FDD6B0E"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76" w:history="1">
            <w:r w:rsidR="00294899" w:rsidRPr="00520E2F">
              <w:rPr>
                <w:rStyle w:val="Hyperlink"/>
                <w:noProof/>
              </w:rPr>
              <w:t>1.2 – Abbreviations</w:t>
            </w:r>
            <w:r w:rsidR="00294899">
              <w:rPr>
                <w:noProof/>
                <w:webHidden/>
              </w:rPr>
              <w:tab/>
            </w:r>
            <w:r w:rsidR="00294899">
              <w:rPr>
                <w:noProof/>
                <w:webHidden/>
              </w:rPr>
              <w:fldChar w:fldCharType="begin"/>
            </w:r>
            <w:r w:rsidR="00294899">
              <w:rPr>
                <w:noProof/>
                <w:webHidden/>
              </w:rPr>
              <w:instrText xml:space="preserve"> PAGEREF _Toc82784876 \h </w:instrText>
            </w:r>
            <w:r w:rsidR="00294899">
              <w:rPr>
                <w:noProof/>
                <w:webHidden/>
              </w:rPr>
            </w:r>
            <w:r w:rsidR="00294899">
              <w:rPr>
                <w:noProof/>
                <w:webHidden/>
              </w:rPr>
              <w:fldChar w:fldCharType="separate"/>
            </w:r>
            <w:r w:rsidR="00294899">
              <w:rPr>
                <w:noProof/>
                <w:webHidden/>
              </w:rPr>
              <w:t>2</w:t>
            </w:r>
            <w:r w:rsidR="00294899">
              <w:rPr>
                <w:noProof/>
                <w:webHidden/>
              </w:rPr>
              <w:fldChar w:fldCharType="end"/>
            </w:r>
          </w:hyperlink>
        </w:p>
        <w:p w14:paraId="7826ADAC" w14:textId="7755E44B"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77" w:history="1">
            <w:r w:rsidR="00294899" w:rsidRPr="00520E2F">
              <w:rPr>
                <w:rStyle w:val="Hyperlink"/>
                <w:noProof/>
              </w:rPr>
              <w:t>1.3 – Facilities At Proposer Site</w:t>
            </w:r>
            <w:r w:rsidR="00294899">
              <w:rPr>
                <w:noProof/>
                <w:webHidden/>
              </w:rPr>
              <w:tab/>
            </w:r>
            <w:r w:rsidR="00294899">
              <w:rPr>
                <w:noProof/>
                <w:webHidden/>
              </w:rPr>
              <w:fldChar w:fldCharType="begin"/>
            </w:r>
            <w:r w:rsidR="00294899">
              <w:rPr>
                <w:noProof/>
                <w:webHidden/>
              </w:rPr>
              <w:instrText xml:space="preserve"> PAGEREF _Toc82784877 \h </w:instrText>
            </w:r>
            <w:r w:rsidR="00294899">
              <w:rPr>
                <w:noProof/>
                <w:webHidden/>
              </w:rPr>
            </w:r>
            <w:r w:rsidR="00294899">
              <w:rPr>
                <w:noProof/>
                <w:webHidden/>
              </w:rPr>
              <w:fldChar w:fldCharType="separate"/>
            </w:r>
            <w:r w:rsidR="00294899">
              <w:rPr>
                <w:noProof/>
                <w:webHidden/>
              </w:rPr>
              <w:t>2</w:t>
            </w:r>
            <w:r w:rsidR="00294899">
              <w:rPr>
                <w:noProof/>
                <w:webHidden/>
              </w:rPr>
              <w:fldChar w:fldCharType="end"/>
            </w:r>
          </w:hyperlink>
        </w:p>
        <w:p w14:paraId="7EE1987D" w14:textId="4907775F"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78" w:history="1">
            <w:r w:rsidR="00294899" w:rsidRPr="00520E2F">
              <w:rPr>
                <w:rStyle w:val="Hyperlink"/>
                <w:noProof/>
              </w:rPr>
              <w:t>1.4 – [Not Used]</w:t>
            </w:r>
            <w:r w:rsidR="00294899">
              <w:rPr>
                <w:noProof/>
                <w:webHidden/>
              </w:rPr>
              <w:tab/>
            </w:r>
            <w:r w:rsidR="00294899">
              <w:rPr>
                <w:noProof/>
                <w:webHidden/>
              </w:rPr>
              <w:fldChar w:fldCharType="begin"/>
            </w:r>
            <w:r w:rsidR="00294899">
              <w:rPr>
                <w:noProof/>
                <w:webHidden/>
              </w:rPr>
              <w:instrText xml:space="preserve"> PAGEREF _Toc82784878 \h </w:instrText>
            </w:r>
            <w:r w:rsidR="00294899">
              <w:rPr>
                <w:noProof/>
                <w:webHidden/>
              </w:rPr>
            </w:r>
            <w:r w:rsidR="00294899">
              <w:rPr>
                <w:noProof/>
                <w:webHidden/>
              </w:rPr>
              <w:fldChar w:fldCharType="separate"/>
            </w:r>
            <w:r w:rsidR="00294899">
              <w:rPr>
                <w:noProof/>
                <w:webHidden/>
              </w:rPr>
              <w:t>3</w:t>
            </w:r>
            <w:r w:rsidR="00294899">
              <w:rPr>
                <w:noProof/>
                <w:webHidden/>
              </w:rPr>
              <w:fldChar w:fldCharType="end"/>
            </w:r>
          </w:hyperlink>
        </w:p>
        <w:p w14:paraId="2FA4011A" w14:textId="72BD8EB2"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79" w:history="1">
            <w:r w:rsidR="00294899" w:rsidRPr="00520E2F">
              <w:rPr>
                <w:rStyle w:val="Hyperlink"/>
                <w:noProof/>
              </w:rPr>
              <w:t>1.5 – Remote Substation Facilities</w:t>
            </w:r>
            <w:r w:rsidR="00294899">
              <w:rPr>
                <w:noProof/>
                <w:webHidden/>
              </w:rPr>
              <w:tab/>
            </w:r>
            <w:r w:rsidR="00294899">
              <w:rPr>
                <w:noProof/>
                <w:webHidden/>
              </w:rPr>
              <w:fldChar w:fldCharType="begin"/>
            </w:r>
            <w:r w:rsidR="00294899">
              <w:rPr>
                <w:noProof/>
                <w:webHidden/>
              </w:rPr>
              <w:instrText xml:space="preserve"> PAGEREF _Toc82784879 \h </w:instrText>
            </w:r>
            <w:r w:rsidR="00294899">
              <w:rPr>
                <w:noProof/>
                <w:webHidden/>
              </w:rPr>
            </w:r>
            <w:r w:rsidR="00294899">
              <w:rPr>
                <w:noProof/>
                <w:webHidden/>
              </w:rPr>
              <w:fldChar w:fldCharType="separate"/>
            </w:r>
            <w:r w:rsidR="00294899">
              <w:rPr>
                <w:noProof/>
                <w:webHidden/>
              </w:rPr>
              <w:t>3</w:t>
            </w:r>
            <w:r w:rsidR="00294899">
              <w:rPr>
                <w:noProof/>
                <w:webHidden/>
              </w:rPr>
              <w:fldChar w:fldCharType="end"/>
            </w:r>
          </w:hyperlink>
        </w:p>
        <w:p w14:paraId="41CB0881" w14:textId="4CD17AA6"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0" w:history="1">
            <w:r w:rsidR="00294899" w:rsidRPr="00520E2F">
              <w:rPr>
                <w:rStyle w:val="Hyperlink"/>
                <w:noProof/>
              </w:rPr>
              <w:t>1.6 – Line Extension from Grid Connection Point (GCP) To Proposer Site</w:t>
            </w:r>
            <w:r w:rsidR="00294899">
              <w:rPr>
                <w:noProof/>
                <w:webHidden/>
              </w:rPr>
              <w:tab/>
            </w:r>
            <w:r w:rsidR="00294899">
              <w:rPr>
                <w:noProof/>
                <w:webHidden/>
              </w:rPr>
              <w:fldChar w:fldCharType="begin"/>
            </w:r>
            <w:r w:rsidR="00294899">
              <w:rPr>
                <w:noProof/>
                <w:webHidden/>
              </w:rPr>
              <w:instrText xml:space="preserve"> PAGEREF _Toc82784880 \h </w:instrText>
            </w:r>
            <w:r w:rsidR="00294899">
              <w:rPr>
                <w:noProof/>
                <w:webHidden/>
              </w:rPr>
            </w:r>
            <w:r w:rsidR="00294899">
              <w:rPr>
                <w:noProof/>
                <w:webHidden/>
              </w:rPr>
              <w:fldChar w:fldCharType="separate"/>
            </w:r>
            <w:r w:rsidR="00294899">
              <w:rPr>
                <w:noProof/>
                <w:webHidden/>
              </w:rPr>
              <w:t>3</w:t>
            </w:r>
            <w:r w:rsidR="00294899">
              <w:rPr>
                <w:noProof/>
                <w:webHidden/>
              </w:rPr>
              <w:fldChar w:fldCharType="end"/>
            </w:r>
          </w:hyperlink>
        </w:p>
        <w:p w14:paraId="25121056" w14:textId="01D8AA7D"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1" w:history="1">
            <w:r w:rsidR="00294899" w:rsidRPr="00520E2F">
              <w:rPr>
                <w:rStyle w:val="Hyperlink"/>
                <w:noProof/>
              </w:rPr>
              <w:t>1.7 – T&amp;D System Upgrades</w:t>
            </w:r>
            <w:r w:rsidR="00294899">
              <w:rPr>
                <w:noProof/>
                <w:webHidden/>
              </w:rPr>
              <w:tab/>
            </w:r>
            <w:r w:rsidR="00294899">
              <w:rPr>
                <w:noProof/>
                <w:webHidden/>
              </w:rPr>
              <w:fldChar w:fldCharType="begin"/>
            </w:r>
            <w:r w:rsidR="00294899">
              <w:rPr>
                <w:noProof/>
                <w:webHidden/>
              </w:rPr>
              <w:instrText xml:space="preserve"> PAGEREF _Toc82784881 \h </w:instrText>
            </w:r>
            <w:r w:rsidR="00294899">
              <w:rPr>
                <w:noProof/>
                <w:webHidden/>
              </w:rPr>
            </w:r>
            <w:r w:rsidR="00294899">
              <w:rPr>
                <w:noProof/>
                <w:webHidden/>
              </w:rPr>
              <w:fldChar w:fldCharType="separate"/>
            </w:r>
            <w:r w:rsidR="00294899">
              <w:rPr>
                <w:noProof/>
                <w:webHidden/>
              </w:rPr>
              <w:t>4</w:t>
            </w:r>
            <w:r w:rsidR="00294899">
              <w:rPr>
                <w:noProof/>
                <w:webHidden/>
              </w:rPr>
              <w:fldChar w:fldCharType="end"/>
            </w:r>
          </w:hyperlink>
        </w:p>
        <w:p w14:paraId="4109740E" w14:textId="703AFF10"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2" w:history="1">
            <w:r w:rsidR="00294899" w:rsidRPr="00520E2F">
              <w:rPr>
                <w:rStyle w:val="Hyperlink"/>
                <w:noProof/>
              </w:rPr>
              <w:t>1.8 – Company-Owned Fiber</w:t>
            </w:r>
            <w:r w:rsidR="00294899">
              <w:rPr>
                <w:noProof/>
                <w:webHidden/>
              </w:rPr>
              <w:tab/>
            </w:r>
            <w:r w:rsidR="00294899">
              <w:rPr>
                <w:noProof/>
                <w:webHidden/>
              </w:rPr>
              <w:fldChar w:fldCharType="begin"/>
            </w:r>
            <w:r w:rsidR="00294899">
              <w:rPr>
                <w:noProof/>
                <w:webHidden/>
              </w:rPr>
              <w:instrText xml:space="preserve"> PAGEREF _Toc82784882 \h </w:instrText>
            </w:r>
            <w:r w:rsidR="00294899">
              <w:rPr>
                <w:noProof/>
                <w:webHidden/>
              </w:rPr>
            </w:r>
            <w:r w:rsidR="00294899">
              <w:rPr>
                <w:noProof/>
                <w:webHidden/>
              </w:rPr>
              <w:fldChar w:fldCharType="separate"/>
            </w:r>
            <w:r w:rsidR="00294899">
              <w:rPr>
                <w:noProof/>
                <w:webHidden/>
              </w:rPr>
              <w:t>4</w:t>
            </w:r>
            <w:r w:rsidR="00294899">
              <w:rPr>
                <w:noProof/>
                <w:webHidden/>
              </w:rPr>
              <w:fldChar w:fldCharType="end"/>
            </w:r>
          </w:hyperlink>
        </w:p>
        <w:p w14:paraId="22B61B7F" w14:textId="70F7CF2F"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3" w:history="1">
            <w:r w:rsidR="00294899" w:rsidRPr="00520E2F">
              <w:rPr>
                <w:rStyle w:val="Hyperlink"/>
                <w:noProof/>
              </w:rPr>
              <w:t>1.9 – Telecommunication Facilities</w:t>
            </w:r>
            <w:r w:rsidR="00294899">
              <w:rPr>
                <w:noProof/>
                <w:webHidden/>
              </w:rPr>
              <w:tab/>
            </w:r>
            <w:r w:rsidR="00294899">
              <w:rPr>
                <w:noProof/>
                <w:webHidden/>
              </w:rPr>
              <w:fldChar w:fldCharType="begin"/>
            </w:r>
            <w:r w:rsidR="00294899">
              <w:rPr>
                <w:noProof/>
                <w:webHidden/>
              </w:rPr>
              <w:instrText xml:space="preserve"> PAGEREF _Toc82784883 \h </w:instrText>
            </w:r>
            <w:r w:rsidR="00294899">
              <w:rPr>
                <w:noProof/>
                <w:webHidden/>
              </w:rPr>
            </w:r>
            <w:r w:rsidR="00294899">
              <w:rPr>
                <w:noProof/>
                <w:webHidden/>
              </w:rPr>
              <w:fldChar w:fldCharType="separate"/>
            </w:r>
            <w:r w:rsidR="00294899">
              <w:rPr>
                <w:noProof/>
                <w:webHidden/>
              </w:rPr>
              <w:t>4</w:t>
            </w:r>
            <w:r w:rsidR="00294899">
              <w:rPr>
                <w:noProof/>
                <w:webHidden/>
              </w:rPr>
              <w:fldChar w:fldCharType="end"/>
            </w:r>
          </w:hyperlink>
        </w:p>
        <w:p w14:paraId="3F49ABE2" w14:textId="09B77492"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4" w:history="1">
            <w:r w:rsidR="00294899" w:rsidRPr="00520E2F">
              <w:rPr>
                <w:rStyle w:val="Hyperlink"/>
                <w:noProof/>
              </w:rPr>
              <w:t>1.10 – Control System Acceptance Test (CSAT)</w:t>
            </w:r>
            <w:r w:rsidR="00294899">
              <w:rPr>
                <w:noProof/>
                <w:webHidden/>
              </w:rPr>
              <w:tab/>
            </w:r>
            <w:r w:rsidR="00294899">
              <w:rPr>
                <w:noProof/>
                <w:webHidden/>
              </w:rPr>
              <w:fldChar w:fldCharType="begin"/>
            </w:r>
            <w:r w:rsidR="00294899">
              <w:rPr>
                <w:noProof/>
                <w:webHidden/>
              </w:rPr>
              <w:instrText xml:space="preserve"> PAGEREF _Toc82784884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0853C14A" w14:textId="3690438E" w:rsidR="00294899" w:rsidRDefault="00542168">
          <w:pPr>
            <w:pStyle w:val="TOC1"/>
            <w:tabs>
              <w:tab w:val="right" w:leader="dot" w:pos="9350"/>
            </w:tabs>
            <w:rPr>
              <w:rFonts w:asciiTheme="minorHAnsi" w:eastAsiaTheme="minorEastAsia" w:hAnsiTheme="minorHAnsi" w:cstheme="minorBidi"/>
              <w:noProof/>
              <w:sz w:val="22"/>
              <w:szCs w:val="22"/>
            </w:rPr>
          </w:pPr>
          <w:hyperlink w:anchor="_Toc82784885" w:history="1">
            <w:r w:rsidR="00294899" w:rsidRPr="00520E2F">
              <w:rPr>
                <w:rStyle w:val="Hyperlink"/>
                <w:noProof/>
              </w:rPr>
              <w:t xml:space="preserve">Section 2 – </w:t>
            </w:r>
            <w:r w:rsidR="00294899" w:rsidRPr="00520E2F">
              <w:rPr>
                <w:rStyle w:val="Hyperlink"/>
                <w:noProof/>
                <w:lang w:val="haw-US"/>
              </w:rPr>
              <w:t>Interconnection Requirements and Costs</w:t>
            </w:r>
            <w:r w:rsidR="00294899">
              <w:rPr>
                <w:noProof/>
                <w:webHidden/>
              </w:rPr>
              <w:tab/>
            </w:r>
            <w:r w:rsidR="00294899">
              <w:rPr>
                <w:noProof/>
                <w:webHidden/>
              </w:rPr>
              <w:fldChar w:fldCharType="begin"/>
            </w:r>
            <w:r w:rsidR="00294899">
              <w:rPr>
                <w:noProof/>
                <w:webHidden/>
              </w:rPr>
              <w:instrText xml:space="preserve"> PAGEREF _Toc82784885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102AF29A" w14:textId="24981D75"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6" w:history="1">
            <w:r w:rsidR="00294899" w:rsidRPr="00520E2F">
              <w:rPr>
                <w:rStyle w:val="Hyperlink"/>
                <w:noProof/>
              </w:rPr>
              <w:t>2.1 – [Not Used]</w:t>
            </w:r>
            <w:r w:rsidR="00294899">
              <w:rPr>
                <w:noProof/>
                <w:webHidden/>
              </w:rPr>
              <w:tab/>
            </w:r>
            <w:r w:rsidR="00294899">
              <w:rPr>
                <w:noProof/>
                <w:webHidden/>
              </w:rPr>
              <w:fldChar w:fldCharType="begin"/>
            </w:r>
            <w:r w:rsidR="00294899">
              <w:rPr>
                <w:noProof/>
                <w:webHidden/>
              </w:rPr>
              <w:instrText xml:space="preserve"> PAGEREF _Toc82784886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5AA9B2B2" w14:textId="547CF9F2"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7" w:history="1">
            <w:r w:rsidR="00294899" w:rsidRPr="00520E2F">
              <w:rPr>
                <w:rStyle w:val="Hyperlink"/>
                <w:noProof/>
              </w:rPr>
              <w:t>2.2 – [Not Used]</w:t>
            </w:r>
            <w:r w:rsidR="00294899">
              <w:rPr>
                <w:noProof/>
                <w:webHidden/>
              </w:rPr>
              <w:tab/>
            </w:r>
            <w:r w:rsidR="00294899">
              <w:rPr>
                <w:noProof/>
                <w:webHidden/>
              </w:rPr>
              <w:fldChar w:fldCharType="begin"/>
            </w:r>
            <w:r w:rsidR="00294899">
              <w:rPr>
                <w:noProof/>
                <w:webHidden/>
              </w:rPr>
              <w:instrText xml:space="preserve"> PAGEREF _Toc82784887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3B392BB5" w14:textId="03B8BA4A"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8" w:history="1">
            <w:r w:rsidR="00294899" w:rsidRPr="00520E2F">
              <w:rPr>
                <w:rStyle w:val="Hyperlink"/>
                <w:noProof/>
              </w:rPr>
              <w:t>2.3 – [Not Used]</w:t>
            </w:r>
            <w:r w:rsidR="00294899">
              <w:rPr>
                <w:noProof/>
                <w:webHidden/>
              </w:rPr>
              <w:tab/>
            </w:r>
            <w:r w:rsidR="00294899">
              <w:rPr>
                <w:noProof/>
                <w:webHidden/>
              </w:rPr>
              <w:fldChar w:fldCharType="begin"/>
            </w:r>
            <w:r w:rsidR="00294899">
              <w:rPr>
                <w:noProof/>
                <w:webHidden/>
              </w:rPr>
              <w:instrText xml:space="preserve"> PAGEREF _Toc82784888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1B4E9ED1" w14:textId="17BA63D2"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89" w:history="1">
            <w:r w:rsidR="00294899" w:rsidRPr="00520E2F">
              <w:rPr>
                <w:rStyle w:val="Hyperlink"/>
                <w:noProof/>
              </w:rPr>
              <w:t>2.4 – Typical Telecommunications Requirements and Costs</w:t>
            </w:r>
            <w:r w:rsidR="00294899">
              <w:rPr>
                <w:noProof/>
                <w:webHidden/>
              </w:rPr>
              <w:tab/>
            </w:r>
            <w:r w:rsidR="00294899">
              <w:rPr>
                <w:noProof/>
                <w:webHidden/>
              </w:rPr>
              <w:fldChar w:fldCharType="begin"/>
            </w:r>
            <w:r w:rsidR="00294899">
              <w:rPr>
                <w:noProof/>
                <w:webHidden/>
              </w:rPr>
              <w:instrText xml:space="preserve"> PAGEREF _Toc82784889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322F6628" w14:textId="36E58B15" w:rsidR="00294899" w:rsidRDefault="00542168">
          <w:pPr>
            <w:pStyle w:val="TOC3"/>
            <w:tabs>
              <w:tab w:val="left" w:pos="1100"/>
            </w:tabs>
            <w:rPr>
              <w:rFonts w:asciiTheme="minorHAnsi" w:eastAsiaTheme="minorEastAsia" w:hAnsiTheme="minorHAnsi" w:cstheme="minorBidi"/>
              <w:noProof/>
              <w:sz w:val="22"/>
              <w:szCs w:val="22"/>
            </w:rPr>
          </w:pPr>
          <w:hyperlink w:anchor="_Toc82784890" w:history="1">
            <w:r w:rsidR="00294899" w:rsidRPr="00520E2F">
              <w:rPr>
                <w:rStyle w:val="Hyperlink"/>
                <w:noProof/>
              </w:rPr>
              <w:t>A.</w:t>
            </w:r>
            <w:r w:rsidR="00294899">
              <w:rPr>
                <w:rFonts w:asciiTheme="minorHAnsi" w:eastAsiaTheme="minorEastAsia" w:hAnsiTheme="minorHAnsi" w:cstheme="minorBidi"/>
                <w:noProof/>
                <w:sz w:val="22"/>
                <w:szCs w:val="22"/>
              </w:rPr>
              <w:tab/>
            </w:r>
            <w:r w:rsidR="00294899" w:rsidRPr="00520E2F">
              <w:rPr>
                <w:rStyle w:val="Hyperlink"/>
                <w:noProof/>
              </w:rPr>
              <w:t>[Not Used]</w:t>
            </w:r>
            <w:r w:rsidR="00294899">
              <w:rPr>
                <w:noProof/>
                <w:webHidden/>
              </w:rPr>
              <w:tab/>
            </w:r>
            <w:r w:rsidR="00294899">
              <w:rPr>
                <w:noProof/>
                <w:webHidden/>
              </w:rPr>
              <w:fldChar w:fldCharType="begin"/>
            </w:r>
            <w:r w:rsidR="00294899">
              <w:rPr>
                <w:noProof/>
                <w:webHidden/>
              </w:rPr>
              <w:instrText xml:space="preserve"> PAGEREF _Toc82784890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5F6EE924" w14:textId="4C0DCE71" w:rsidR="00294899" w:rsidRDefault="00542168">
          <w:pPr>
            <w:pStyle w:val="TOC3"/>
            <w:tabs>
              <w:tab w:val="left" w:pos="1100"/>
            </w:tabs>
            <w:rPr>
              <w:rFonts w:asciiTheme="minorHAnsi" w:eastAsiaTheme="minorEastAsia" w:hAnsiTheme="minorHAnsi" w:cstheme="minorBidi"/>
              <w:noProof/>
              <w:sz w:val="22"/>
              <w:szCs w:val="22"/>
            </w:rPr>
          </w:pPr>
          <w:hyperlink w:anchor="_Toc82784891" w:history="1">
            <w:r w:rsidR="00294899" w:rsidRPr="00520E2F">
              <w:rPr>
                <w:rStyle w:val="Hyperlink"/>
                <w:noProof/>
              </w:rPr>
              <w:t>B.</w:t>
            </w:r>
            <w:r w:rsidR="00294899">
              <w:rPr>
                <w:rFonts w:asciiTheme="minorHAnsi" w:eastAsiaTheme="minorEastAsia" w:hAnsiTheme="minorHAnsi" w:cstheme="minorBidi"/>
                <w:noProof/>
                <w:sz w:val="22"/>
                <w:szCs w:val="22"/>
              </w:rPr>
              <w:tab/>
            </w:r>
            <w:r w:rsidR="00294899" w:rsidRPr="00520E2F">
              <w:rPr>
                <w:rStyle w:val="Hyperlink"/>
                <w:noProof/>
              </w:rPr>
              <w:t>[Not Used]</w:t>
            </w:r>
            <w:r w:rsidR="00294899">
              <w:rPr>
                <w:noProof/>
                <w:webHidden/>
              </w:rPr>
              <w:tab/>
            </w:r>
            <w:r w:rsidR="00294899">
              <w:rPr>
                <w:noProof/>
                <w:webHidden/>
              </w:rPr>
              <w:fldChar w:fldCharType="begin"/>
            </w:r>
            <w:r w:rsidR="00294899">
              <w:rPr>
                <w:noProof/>
                <w:webHidden/>
              </w:rPr>
              <w:instrText xml:space="preserve"> PAGEREF _Toc82784891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3CF2F766" w14:textId="1F683D42" w:rsidR="00294899" w:rsidRDefault="00542168">
          <w:pPr>
            <w:pStyle w:val="TOC3"/>
            <w:tabs>
              <w:tab w:val="left" w:pos="1100"/>
            </w:tabs>
            <w:rPr>
              <w:rFonts w:asciiTheme="minorHAnsi" w:eastAsiaTheme="minorEastAsia" w:hAnsiTheme="minorHAnsi" w:cstheme="minorBidi"/>
              <w:noProof/>
              <w:sz w:val="22"/>
              <w:szCs w:val="22"/>
            </w:rPr>
          </w:pPr>
          <w:hyperlink w:anchor="_Toc82784892" w:history="1">
            <w:r w:rsidR="00294899" w:rsidRPr="00520E2F">
              <w:rPr>
                <w:rStyle w:val="Hyperlink"/>
                <w:noProof/>
              </w:rPr>
              <w:t>C.</w:t>
            </w:r>
            <w:r w:rsidR="00294899">
              <w:rPr>
                <w:rFonts w:asciiTheme="minorHAnsi" w:eastAsiaTheme="minorEastAsia" w:hAnsiTheme="minorHAnsi" w:cstheme="minorBidi"/>
                <w:noProof/>
                <w:sz w:val="22"/>
                <w:szCs w:val="22"/>
              </w:rPr>
              <w:tab/>
            </w:r>
            <w:r w:rsidR="00294899" w:rsidRPr="00520E2F">
              <w:rPr>
                <w:rStyle w:val="Hyperlink"/>
                <w:noProof/>
              </w:rPr>
              <w:t>Projects &gt; 3 MW on Oʻahu, Maui, or Hawaiʻi Island</w:t>
            </w:r>
            <w:r w:rsidR="00294899">
              <w:rPr>
                <w:noProof/>
                <w:webHidden/>
              </w:rPr>
              <w:tab/>
            </w:r>
            <w:r w:rsidR="00294899">
              <w:rPr>
                <w:noProof/>
                <w:webHidden/>
              </w:rPr>
              <w:fldChar w:fldCharType="begin"/>
            </w:r>
            <w:r w:rsidR="00294899">
              <w:rPr>
                <w:noProof/>
                <w:webHidden/>
              </w:rPr>
              <w:instrText xml:space="preserve"> PAGEREF _Toc82784892 \h </w:instrText>
            </w:r>
            <w:r w:rsidR="00294899">
              <w:rPr>
                <w:noProof/>
                <w:webHidden/>
              </w:rPr>
            </w:r>
            <w:r w:rsidR="00294899">
              <w:rPr>
                <w:noProof/>
                <w:webHidden/>
              </w:rPr>
              <w:fldChar w:fldCharType="separate"/>
            </w:r>
            <w:r w:rsidR="00294899">
              <w:rPr>
                <w:noProof/>
                <w:webHidden/>
              </w:rPr>
              <w:t>5</w:t>
            </w:r>
            <w:r w:rsidR="00294899">
              <w:rPr>
                <w:noProof/>
                <w:webHidden/>
              </w:rPr>
              <w:fldChar w:fldCharType="end"/>
            </w:r>
          </w:hyperlink>
        </w:p>
        <w:p w14:paraId="5009DE6B" w14:textId="06391232" w:rsidR="00294899" w:rsidRDefault="00542168">
          <w:pPr>
            <w:pStyle w:val="TOC3"/>
            <w:tabs>
              <w:tab w:val="left" w:pos="1100"/>
            </w:tabs>
            <w:rPr>
              <w:rFonts w:asciiTheme="minorHAnsi" w:eastAsiaTheme="minorEastAsia" w:hAnsiTheme="minorHAnsi" w:cstheme="minorBidi"/>
              <w:noProof/>
              <w:sz w:val="22"/>
              <w:szCs w:val="22"/>
            </w:rPr>
          </w:pPr>
          <w:hyperlink w:anchor="_Toc82784893" w:history="1">
            <w:r w:rsidR="00294899" w:rsidRPr="00520E2F">
              <w:rPr>
                <w:rStyle w:val="Hyperlink"/>
                <w:noProof/>
              </w:rPr>
              <w:t>D.</w:t>
            </w:r>
            <w:r w:rsidR="00294899">
              <w:rPr>
                <w:rFonts w:asciiTheme="minorHAnsi" w:eastAsiaTheme="minorEastAsia" w:hAnsiTheme="minorHAnsi" w:cstheme="minorBidi"/>
                <w:noProof/>
                <w:sz w:val="22"/>
                <w:szCs w:val="22"/>
              </w:rPr>
              <w:tab/>
            </w:r>
            <w:r w:rsidR="00294899" w:rsidRPr="00520E2F">
              <w:rPr>
                <w:rStyle w:val="Hyperlink"/>
                <w:noProof/>
              </w:rPr>
              <w:t>[Not Used]</w:t>
            </w:r>
            <w:r w:rsidR="00294899">
              <w:rPr>
                <w:noProof/>
                <w:webHidden/>
              </w:rPr>
              <w:tab/>
            </w:r>
            <w:r w:rsidR="00294899">
              <w:rPr>
                <w:noProof/>
                <w:webHidden/>
              </w:rPr>
              <w:fldChar w:fldCharType="begin"/>
            </w:r>
            <w:r w:rsidR="00294899">
              <w:rPr>
                <w:noProof/>
                <w:webHidden/>
              </w:rPr>
              <w:instrText xml:space="preserve"> PAGEREF _Toc82784893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25A68AF6" w14:textId="1A482715" w:rsidR="00294899" w:rsidRDefault="00542168">
          <w:pPr>
            <w:pStyle w:val="TOC3"/>
            <w:tabs>
              <w:tab w:val="left" w:pos="1100"/>
            </w:tabs>
            <w:rPr>
              <w:rFonts w:asciiTheme="minorHAnsi" w:eastAsiaTheme="minorEastAsia" w:hAnsiTheme="minorHAnsi" w:cstheme="minorBidi"/>
              <w:noProof/>
              <w:sz w:val="22"/>
              <w:szCs w:val="22"/>
            </w:rPr>
          </w:pPr>
          <w:hyperlink w:anchor="_Toc82784894" w:history="1">
            <w:r w:rsidR="00294899" w:rsidRPr="00520E2F">
              <w:rPr>
                <w:rStyle w:val="Hyperlink"/>
                <w:noProof/>
              </w:rPr>
              <w:t>E.</w:t>
            </w:r>
            <w:r w:rsidR="00294899">
              <w:rPr>
                <w:rFonts w:asciiTheme="minorHAnsi" w:eastAsiaTheme="minorEastAsia" w:hAnsiTheme="minorHAnsi" w:cstheme="minorBidi"/>
                <w:noProof/>
                <w:sz w:val="22"/>
                <w:szCs w:val="22"/>
              </w:rPr>
              <w:tab/>
            </w:r>
            <w:r w:rsidR="00294899" w:rsidRPr="00520E2F">
              <w:rPr>
                <w:rStyle w:val="Hyperlink"/>
                <w:noProof/>
              </w:rPr>
              <w:t>[Not Used]</w:t>
            </w:r>
            <w:r w:rsidR="00294899">
              <w:rPr>
                <w:noProof/>
                <w:webHidden/>
              </w:rPr>
              <w:tab/>
            </w:r>
            <w:r w:rsidR="00294899">
              <w:rPr>
                <w:noProof/>
                <w:webHidden/>
              </w:rPr>
              <w:fldChar w:fldCharType="begin"/>
            </w:r>
            <w:r w:rsidR="00294899">
              <w:rPr>
                <w:noProof/>
                <w:webHidden/>
              </w:rPr>
              <w:instrText xml:space="preserve"> PAGEREF _Toc82784894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012DBBEA" w14:textId="194C0F98"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95" w:history="1">
            <w:r w:rsidR="00294899" w:rsidRPr="00520E2F">
              <w:rPr>
                <w:rStyle w:val="Hyperlink"/>
                <w:noProof/>
              </w:rPr>
              <w:t>2.5 – Typical Security Requirements and Costs</w:t>
            </w:r>
            <w:r w:rsidR="00294899">
              <w:rPr>
                <w:noProof/>
                <w:webHidden/>
              </w:rPr>
              <w:tab/>
            </w:r>
            <w:r w:rsidR="00294899">
              <w:rPr>
                <w:noProof/>
                <w:webHidden/>
              </w:rPr>
              <w:fldChar w:fldCharType="begin"/>
            </w:r>
            <w:r w:rsidR="00294899">
              <w:rPr>
                <w:noProof/>
                <w:webHidden/>
              </w:rPr>
              <w:instrText xml:space="preserve"> PAGEREF _Toc82784895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528EAA7E" w14:textId="54F8242C" w:rsidR="00294899" w:rsidRDefault="00542168">
          <w:pPr>
            <w:pStyle w:val="TOC3"/>
            <w:tabs>
              <w:tab w:val="left" w:pos="1100"/>
            </w:tabs>
            <w:rPr>
              <w:rFonts w:asciiTheme="minorHAnsi" w:eastAsiaTheme="minorEastAsia" w:hAnsiTheme="minorHAnsi" w:cstheme="minorBidi"/>
              <w:noProof/>
              <w:sz w:val="22"/>
              <w:szCs w:val="22"/>
            </w:rPr>
          </w:pPr>
          <w:hyperlink w:anchor="_Toc82784896" w:history="1">
            <w:r w:rsidR="00294899" w:rsidRPr="00520E2F">
              <w:rPr>
                <w:rStyle w:val="Hyperlink"/>
                <w:noProof/>
              </w:rPr>
              <w:t>A.</w:t>
            </w:r>
            <w:r w:rsidR="00294899">
              <w:rPr>
                <w:rFonts w:asciiTheme="minorHAnsi" w:eastAsiaTheme="minorEastAsia" w:hAnsiTheme="minorHAnsi" w:cstheme="minorBidi"/>
                <w:noProof/>
                <w:sz w:val="22"/>
                <w:szCs w:val="22"/>
              </w:rPr>
              <w:tab/>
            </w:r>
            <w:r w:rsidR="00294899" w:rsidRPr="00520E2F">
              <w:rPr>
                <w:rStyle w:val="Hyperlink"/>
                <w:noProof/>
              </w:rPr>
              <w:t>Proposer Responsibilities at Proposer Facility</w:t>
            </w:r>
            <w:r w:rsidR="00294899">
              <w:rPr>
                <w:noProof/>
                <w:webHidden/>
              </w:rPr>
              <w:tab/>
            </w:r>
            <w:r w:rsidR="00294899">
              <w:rPr>
                <w:noProof/>
                <w:webHidden/>
              </w:rPr>
              <w:fldChar w:fldCharType="begin"/>
            </w:r>
            <w:r w:rsidR="00294899">
              <w:rPr>
                <w:noProof/>
                <w:webHidden/>
              </w:rPr>
              <w:instrText xml:space="preserve"> PAGEREF _Toc82784896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462F7D3D" w14:textId="6CDD95DB" w:rsidR="00294899" w:rsidRDefault="00542168">
          <w:pPr>
            <w:pStyle w:val="TOC1"/>
            <w:tabs>
              <w:tab w:val="right" w:leader="dot" w:pos="9350"/>
            </w:tabs>
            <w:rPr>
              <w:rFonts w:asciiTheme="minorHAnsi" w:eastAsiaTheme="minorEastAsia" w:hAnsiTheme="minorHAnsi" w:cstheme="minorBidi"/>
              <w:noProof/>
              <w:sz w:val="22"/>
              <w:szCs w:val="22"/>
            </w:rPr>
          </w:pPr>
          <w:hyperlink w:anchor="_Toc82784897" w:history="1">
            <w:r w:rsidR="00294899" w:rsidRPr="00520E2F">
              <w:rPr>
                <w:rStyle w:val="Hyperlink"/>
                <w:noProof/>
                <w:lang w:eastAsia="ja-JP"/>
              </w:rPr>
              <w:t>Section 3 – Proposer-Build Responsibilities</w:t>
            </w:r>
            <w:r w:rsidR="00294899">
              <w:rPr>
                <w:noProof/>
                <w:webHidden/>
              </w:rPr>
              <w:tab/>
            </w:r>
            <w:r w:rsidR="00294899">
              <w:rPr>
                <w:noProof/>
                <w:webHidden/>
              </w:rPr>
              <w:fldChar w:fldCharType="begin"/>
            </w:r>
            <w:r w:rsidR="00294899">
              <w:rPr>
                <w:noProof/>
                <w:webHidden/>
              </w:rPr>
              <w:instrText xml:space="preserve"> PAGEREF _Toc82784897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26E46DD2" w14:textId="7BEA74B9"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98" w:history="1">
            <w:r w:rsidR="00294899" w:rsidRPr="00520E2F">
              <w:rPr>
                <w:rStyle w:val="Hyperlink"/>
                <w:noProof/>
                <w:lang w:eastAsia="ja-JP"/>
              </w:rPr>
              <w:t>3.1 – COIF at Proposer Site</w:t>
            </w:r>
            <w:r w:rsidR="00294899">
              <w:rPr>
                <w:noProof/>
                <w:webHidden/>
              </w:rPr>
              <w:tab/>
            </w:r>
            <w:r w:rsidR="00294899">
              <w:rPr>
                <w:noProof/>
                <w:webHidden/>
              </w:rPr>
              <w:fldChar w:fldCharType="begin"/>
            </w:r>
            <w:r w:rsidR="00294899">
              <w:rPr>
                <w:noProof/>
                <w:webHidden/>
              </w:rPr>
              <w:instrText xml:space="preserve"> PAGEREF _Toc82784898 \h </w:instrText>
            </w:r>
            <w:r w:rsidR="00294899">
              <w:rPr>
                <w:noProof/>
                <w:webHidden/>
              </w:rPr>
            </w:r>
            <w:r w:rsidR="00294899">
              <w:rPr>
                <w:noProof/>
                <w:webHidden/>
              </w:rPr>
              <w:fldChar w:fldCharType="separate"/>
            </w:r>
            <w:r w:rsidR="00294899">
              <w:rPr>
                <w:noProof/>
                <w:webHidden/>
              </w:rPr>
              <w:t>6</w:t>
            </w:r>
            <w:r w:rsidR="00294899">
              <w:rPr>
                <w:noProof/>
                <w:webHidden/>
              </w:rPr>
              <w:fldChar w:fldCharType="end"/>
            </w:r>
          </w:hyperlink>
        </w:p>
        <w:p w14:paraId="2455D0E8" w14:textId="14A07091"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899" w:history="1">
            <w:r w:rsidR="00294899" w:rsidRPr="00520E2F">
              <w:rPr>
                <w:rStyle w:val="Hyperlink"/>
                <w:noProof/>
                <w:lang w:eastAsia="ja-JP"/>
              </w:rPr>
              <w:t xml:space="preserve">3.2 – </w:t>
            </w:r>
            <w:r w:rsidR="00294899" w:rsidRPr="00520E2F">
              <w:rPr>
                <w:rStyle w:val="Hyperlink"/>
                <w:noProof/>
              </w:rPr>
              <w:t>COIF</w:t>
            </w:r>
            <w:r w:rsidR="00294899" w:rsidRPr="00520E2F">
              <w:rPr>
                <w:rStyle w:val="Hyperlink"/>
                <w:noProof/>
                <w:lang w:eastAsia="ja-JP"/>
              </w:rPr>
              <w:t xml:space="preserve"> at Existing Company-Owned Substations</w:t>
            </w:r>
            <w:r w:rsidR="00294899">
              <w:rPr>
                <w:noProof/>
                <w:webHidden/>
              </w:rPr>
              <w:tab/>
            </w:r>
            <w:r w:rsidR="00294899">
              <w:rPr>
                <w:noProof/>
                <w:webHidden/>
              </w:rPr>
              <w:fldChar w:fldCharType="begin"/>
            </w:r>
            <w:r w:rsidR="00294899">
              <w:rPr>
                <w:noProof/>
                <w:webHidden/>
              </w:rPr>
              <w:instrText xml:space="preserve"> PAGEREF _Toc82784899 \h </w:instrText>
            </w:r>
            <w:r w:rsidR="00294899">
              <w:rPr>
                <w:noProof/>
                <w:webHidden/>
              </w:rPr>
            </w:r>
            <w:r w:rsidR="00294899">
              <w:rPr>
                <w:noProof/>
                <w:webHidden/>
              </w:rPr>
              <w:fldChar w:fldCharType="separate"/>
            </w:r>
            <w:r w:rsidR="00294899">
              <w:rPr>
                <w:noProof/>
                <w:webHidden/>
              </w:rPr>
              <w:t>7</w:t>
            </w:r>
            <w:r w:rsidR="00294899">
              <w:rPr>
                <w:noProof/>
                <w:webHidden/>
              </w:rPr>
              <w:fldChar w:fldCharType="end"/>
            </w:r>
          </w:hyperlink>
        </w:p>
        <w:p w14:paraId="0B3C0FED" w14:textId="6342BAD8"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900" w:history="1">
            <w:r w:rsidR="00294899" w:rsidRPr="00520E2F">
              <w:rPr>
                <w:rStyle w:val="Hyperlink"/>
                <w:noProof/>
                <w:lang w:eastAsia="ja-JP"/>
              </w:rPr>
              <w:t>3.3 – T&amp;D Line Work</w:t>
            </w:r>
            <w:r w:rsidR="00294899">
              <w:rPr>
                <w:noProof/>
                <w:webHidden/>
              </w:rPr>
              <w:tab/>
            </w:r>
            <w:r w:rsidR="00294899">
              <w:rPr>
                <w:noProof/>
                <w:webHidden/>
              </w:rPr>
              <w:fldChar w:fldCharType="begin"/>
            </w:r>
            <w:r w:rsidR="00294899">
              <w:rPr>
                <w:noProof/>
                <w:webHidden/>
              </w:rPr>
              <w:instrText xml:space="preserve"> PAGEREF _Toc82784900 \h </w:instrText>
            </w:r>
            <w:r w:rsidR="00294899">
              <w:rPr>
                <w:noProof/>
                <w:webHidden/>
              </w:rPr>
            </w:r>
            <w:r w:rsidR="00294899">
              <w:rPr>
                <w:noProof/>
                <w:webHidden/>
              </w:rPr>
              <w:fldChar w:fldCharType="separate"/>
            </w:r>
            <w:r w:rsidR="00294899">
              <w:rPr>
                <w:noProof/>
                <w:webHidden/>
              </w:rPr>
              <w:t>7</w:t>
            </w:r>
            <w:r w:rsidR="00294899">
              <w:rPr>
                <w:noProof/>
                <w:webHidden/>
              </w:rPr>
              <w:fldChar w:fldCharType="end"/>
            </w:r>
          </w:hyperlink>
        </w:p>
        <w:p w14:paraId="1A3BC10E" w14:textId="36701A0F"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901" w:history="1">
            <w:r w:rsidR="00294899" w:rsidRPr="00520E2F">
              <w:rPr>
                <w:rStyle w:val="Hyperlink"/>
                <w:noProof/>
                <w:lang w:eastAsia="ja-JP"/>
              </w:rPr>
              <w:t>3.4 – Telecommunications</w:t>
            </w:r>
            <w:r w:rsidR="00294899">
              <w:rPr>
                <w:noProof/>
                <w:webHidden/>
              </w:rPr>
              <w:tab/>
            </w:r>
            <w:r w:rsidR="00294899">
              <w:rPr>
                <w:noProof/>
                <w:webHidden/>
              </w:rPr>
              <w:fldChar w:fldCharType="begin"/>
            </w:r>
            <w:r w:rsidR="00294899">
              <w:rPr>
                <w:noProof/>
                <w:webHidden/>
              </w:rPr>
              <w:instrText xml:space="preserve"> PAGEREF _Toc82784901 \h </w:instrText>
            </w:r>
            <w:r w:rsidR="00294899">
              <w:rPr>
                <w:noProof/>
                <w:webHidden/>
              </w:rPr>
            </w:r>
            <w:r w:rsidR="00294899">
              <w:rPr>
                <w:noProof/>
                <w:webHidden/>
              </w:rPr>
              <w:fldChar w:fldCharType="separate"/>
            </w:r>
            <w:r w:rsidR="00294899">
              <w:rPr>
                <w:noProof/>
                <w:webHidden/>
              </w:rPr>
              <w:t>8</w:t>
            </w:r>
            <w:r w:rsidR="00294899">
              <w:rPr>
                <w:noProof/>
                <w:webHidden/>
              </w:rPr>
              <w:fldChar w:fldCharType="end"/>
            </w:r>
          </w:hyperlink>
        </w:p>
        <w:p w14:paraId="0169F448" w14:textId="513D75C7" w:rsidR="00294899" w:rsidRDefault="00542168">
          <w:pPr>
            <w:pStyle w:val="TOC2"/>
            <w:tabs>
              <w:tab w:val="right" w:leader="dot" w:pos="9350"/>
            </w:tabs>
            <w:rPr>
              <w:rFonts w:asciiTheme="minorHAnsi" w:eastAsiaTheme="minorEastAsia" w:hAnsiTheme="minorHAnsi" w:cstheme="minorBidi"/>
              <w:noProof/>
              <w:sz w:val="22"/>
              <w:szCs w:val="22"/>
            </w:rPr>
          </w:pPr>
          <w:hyperlink w:anchor="_Toc82784902" w:history="1">
            <w:r w:rsidR="00294899" w:rsidRPr="00520E2F">
              <w:rPr>
                <w:rStyle w:val="Hyperlink"/>
                <w:noProof/>
                <w:lang w:eastAsia="ja-JP"/>
              </w:rPr>
              <w:t xml:space="preserve">3.5 – </w:t>
            </w:r>
            <w:r w:rsidR="00294899" w:rsidRPr="00520E2F">
              <w:rPr>
                <w:rStyle w:val="Hyperlink"/>
                <w:noProof/>
              </w:rPr>
              <w:t>Security</w:t>
            </w:r>
            <w:r w:rsidR="00294899">
              <w:rPr>
                <w:noProof/>
                <w:webHidden/>
              </w:rPr>
              <w:tab/>
            </w:r>
            <w:r w:rsidR="00294899">
              <w:rPr>
                <w:noProof/>
                <w:webHidden/>
              </w:rPr>
              <w:fldChar w:fldCharType="begin"/>
            </w:r>
            <w:r w:rsidR="00294899">
              <w:rPr>
                <w:noProof/>
                <w:webHidden/>
              </w:rPr>
              <w:instrText xml:space="preserve"> PAGEREF _Toc82784902 \h </w:instrText>
            </w:r>
            <w:r w:rsidR="00294899">
              <w:rPr>
                <w:noProof/>
                <w:webHidden/>
              </w:rPr>
            </w:r>
            <w:r w:rsidR="00294899">
              <w:rPr>
                <w:noProof/>
                <w:webHidden/>
              </w:rPr>
              <w:fldChar w:fldCharType="separate"/>
            </w:r>
            <w:r w:rsidR="00294899">
              <w:rPr>
                <w:noProof/>
                <w:webHidden/>
              </w:rPr>
              <w:t>8</w:t>
            </w:r>
            <w:r w:rsidR="00294899">
              <w:rPr>
                <w:noProof/>
                <w:webHidden/>
              </w:rPr>
              <w:fldChar w:fldCharType="end"/>
            </w:r>
          </w:hyperlink>
        </w:p>
        <w:p w14:paraId="58CD187D" w14:textId="78D8D137" w:rsidR="00294899" w:rsidRDefault="00542168">
          <w:pPr>
            <w:pStyle w:val="TOC1"/>
            <w:tabs>
              <w:tab w:val="right" w:leader="dot" w:pos="9350"/>
            </w:tabs>
            <w:rPr>
              <w:rFonts w:asciiTheme="minorHAnsi" w:eastAsiaTheme="minorEastAsia" w:hAnsiTheme="minorHAnsi" w:cstheme="minorBidi"/>
              <w:noProof/>
              <w:sz w:val="22"/>
              <w:szCs w:val="22"/>
            </w:rPr>
          </w:pPr>
          <w:hyperlink w:anchor="_Toc82784903" w:history="1">
            <w:r w:rsidR="00294899" w:rsidRPr="00520E2F">
              <w:rPr>
                <w:rStyle w:val="Hyperlink"/>
                <w:noProof/>
                <w:lang w:eastAsia="ja-JP"/>
              </w:rPr>
              <w:t>Section 4 – Typical Company Durations for Interconnection Projects</w:t>
            </w:r>
            <w:r w:rsidR="00294899">
              <w:rPr>
                <w:noProof/>
                <w:webHidden/>
              </w:rPr>
              <w:tab/>
            </w:r>
            <w:r w:rsidR="00294899">
              <w:rPr>
                <w:noProof/>
                <w:webHidden/>
              </w:rPr>
              <w:fldChar w:fldCharType="begin"/>
            </w:r>
            <w:r w:rsidR="00294899">
              <w:rPr>
                <w:noProof/>
                <w:webHidden/>
              </w:rPr>
              <w:instrText xml:space="preserve"> PAGEREF _Toc82784903 \h </w:instrText>
            </w:r>
            <w:r w:rsidR="00294899">
              <w:rPr>
                <w:noProof/>
                <w:webHidden/>
              </w:rPr>
            </w:r>
            <w:r w:rsidR="00294899">
              <w:rPr>
                <w:noProof/>
                <w:webHidden/>
              </w:rPr>
              <w:fldChar w:fldCharType="separate"/>
            </w:r>
            <w:r w:rsidR="00294899">
              <w:rPr>
                <w:noProof/>
                <w:webHidden/>
              </w:rPr>
              <w:t>9</w:t>
            </w:r>
            <w:r w:rsidR="00294899">
              <w:rPr>
                <w:noProof/>
                <w:webHidden/>
              </w:rPr>
              <w:fldChar w:fldCharType="end"/>
            </w:r>
          </w:hyperlink>
        </w:p>
        <w:p w14:paraId="5E2F3725" w14:textId="4F31654D" w:rsidR="00FF48FD" w:rsidRPr="009E3C87" w:rsidRDefault="00E202CD" w:rsidP="00B228FE">
          <w:pPr>
            <w:rPr>
              <w:bCs/>
              <w:noProof/>
            </w:rPr>
          </w:pPr>
          <w:r>
            <w:fldChar w:fldCharType="end"/>
          </w:r>
        </w:p>
      </w:sdtContent>
    </w:sdt>
    <w:p w14:paraId="6A872D39" w14:textId="77777777" w:rsidR="00794D9D" w:rsidRDefault="00794D9D">
      <w:pPr>
        <w:spacing w:after="200" w:line="276" w:lineRule="auto"/>
      </w:pPr>
      <w:r>
        <w:br w:type="page"/>
      </w:r>
    </w:p>
    <w:p w14:paraId="03873458" w14:textId="4421659E" w:rsidR="00DF32A4" w:rsidRDefault="009A2683" w:rsidP="00DF32A4">
      <w:pPr>
        <w:rPr>
          <w:lang w:val="haw-US"/>
        </w:rPr>
      </w:pPr>
      <w:r>
        <w:lastRenderedPageBreak/>
        <w:t>The information provided in this document can be used t</w:t>
      </w:r>
      <w:r>
        <w:rPr>
          <w:lang w:val="haw-US"/>
        </w:rPr>
        <w:t xml:space="preserve">o </w:t>
      </w:r>
      <w:r w:rsidR="00DF32A4">
        <w:rPr>
          <w:lang w:val="haw-US"/>
        </w:rPr>
        <w:t xml:space="preserve">assist Proposers in </w:t>
      </w:r>
      <w:r w:rsidR="00A042E2">
        <w:t xml:space="preserve">estimating costs </w:t>
      </w:r>
      <w:r>
        <w:t xml:space="preserve">and schedule </w:t>
      </w:r>
      <w:r w:rsidR="00A042E2">
        <w:t xml:space="preserve">of </w:t>
      </w:r>
      <w:r w:rsidR="00DF32A4">
        <w:rPr>
          <w:lang w:val="haw-US"/>
        </w:rPr>
        <w:t>potential projects</w:t>
      </w:r>
      <w:r>
        <w:t>.</w:t>
      </w:r>
    </w:p>
    <w:p w14:paraId="7DD77855" w14:textId="62DBD318" w:rsidR="004F0E63" w:rsidRDefault="004F0E63" w:rsidP="00DF32A4">
      <w:pPr>
        <w:rPr>
          <w:lang w:val="haw-US"/>
        </w:rPr>
      </w:pPr>
    </w:p>
    <w:p w14:paraId="140E4DC7" w14:textId="6EC23716" w:rsidR="009456A5" w:rsidRPr="009D0344" w:rsidRDefault="00F26F5F" w:rsidP="00E62F8C">
      <w:pPr>
        <w:pStyle w:val="Heading1"/>
      </w:pPr>
      <w:bookmarkStart w:id="2" w:name="_Toc82784874"/>
      <w:r>
        <w:t>S</w:t>
      </w:r>
      <w:r w:rsidRPr="009D0344">
        <w:t xml:space="preserve">ection 1 – </w:t>
      </w:r>
      <w:r w:rsidRPr="00E62F8C">
        <w:t>Cost</w:t>
      </w:r>
      <w:r w:rsidRPr="009D0344">
        <w:t xml:space="preserve"> </w:t>
      </w:r>
      <w:r w:rsidRPr="00E62F8C">
        <w:t>Responsibilities</w:t>
      </w:r>
      <w:bookmarkEnd w:id="2"/>
    </w:p>
    <w:p w14:paraId="10385D87" w14:textId="77777777" w:rsidR="004F0E63" w:rsidRDefault="004F0E63" w:rsidP="004F0E63">
      <w:pPr>
        <w:jc w:val="both"/>
      </w:pPr>
      <w:r>
        <w:t>For the purposes of this RFP, the Company will be responsible for the costs of Company-Owned Interconnection Facilities (COIF), subject to any limitations, as described in Section 1.  The Company will not be responsible for any costs related to work deemed excessive and/or corrective in nature.  The information below will help to clarify the responsibilities of the Company and the Proposer for COIF.</w:t>
      </w:r>
    </w:p>
    <w:p w14:paraId="13D40C52" w14:textId="77777777" w:rsidR="004F0E63" w:rsidRDefault="004F0E63" w:rsidP="004F0E63">
      <w:pPr>
        <w:pStyle w:val="Heading2"/>
      </w:pPr>
      <w:bookmarkStart w:id="3" w:name="_Toc82784875"/>
      <w:r>
        <w:t>1.1 – Definitions</w:t>
      </w:r>
      <w:bookmarkEnd w:id="3"/>
    </w:p>
    <w:p w14:paraId="48E967F3" w14:textId="77777777" w:rsidR="004F0E63" w:rsidRPr="00A65002" w:rsidRDefault="004F0E63" w:rsidP="00F43624">
      <w:pPr>
        <w:pStyle w:val="NoSpacing"/>
        <w:numPr>
          <w:ilvl w:val="1"/>
          <w:numId w:val="12"/>
        </w:numPr>
        <w:rPr>
          <w:u w:val="single"/>
        </w:rPr>
      </w:pPr>
      <w:r w:rsidRPr="00A65002">
        <w:rPr>
          <w:u w:val="single"/>
        </w:rPr>
        <w:t>Betterment</w:t>
      </w:r>
      <w:r>
        <w:t xml:space="preserve"> – Any upgrading to a facility made solely for the benefit of and at the election of the Company and is not required by applicable laws, codes, Company Standards, and the interconnection requirements in accordance with Tariff Rule No. 19.</w:t>
      </w:r>
    </w:p>
    <w:p w14:paraId="3D45BE07" w14:textId="3B63C6B6" w:rsidR="004F0E63" w:rsidRPr="00A65002" w:rsidRDefault="004F0E63" w:rsidP="00F43624">
      <w:pPr>
        <w:pStyle w:val="NoSpacing"/>
        <w:numPr>
          <w:ilvl w:val="1"/>
          <w:numId w:val="12"/>
        </w:numPr>
        <w:rPr>
          <w:u w:val="single"/>
        </w:rPr>
      </w:pPr>
      <w:r w:rsidRPr="00A65002">
        <w:rPr>
          <w:u w:val="single"/>
        </w:rPr>
        <w:t>Company</w:t>
      </w:r>
      <w:r>
        <w:t xml:space="preserve"> –Hawai‘i Electric Light.</w:t>
      </w:r>
    </w:p>
    <w:p w14:paraId="3797E9D6" w14:textId="7DCB0855" w:rsidR="004F0E63" w:rsidRPr="00A65002" w:rsidRDefault="004F0E63" w:rsidP="00F43624">
      <w:pPr>
        <w:pStyle w:val="NoSpacing"/>
        <w:numPr>
          <w:ilvl w:val="1"/>
          <w:numId w:val="12"/>
        </w:numPr>
        <w:rPr>
          <w:u w:val="single"/>
        </w:rPr>
      </w:pPr>
      <w:r>
        <w:rPr>
          <w:u w:val="single"/>
        </w:rPr>
        <w:t>Company-Owned Interconnection Facilities</w:t>
      </w:r>
      <w:r w:rsidRPr="0027723B">
        <w:t xml:space="preserve"> – The equipment and devices owned by Company that are required to permit a</w:t>
      </w:r>
      <w:r w:rsidR="00245BD2">
        <w:t>n</w:t>
      </w:r>
      <w:r w:rsidRPr="0027723B">
        <w:t xml:space="preserve"> </w:t>
      </w:r>
      <w:r w:rsidR="007858D4">
        <w:t>energy storage</w:t>
      </w:r>
      <w:r w:rsidR="007858D4" w:rsidRPr="0027723B">
        <w:t xml:space="preserve"> </w:t>
      </w:r>
      <w:r w:rsidRPr="0027723B">
        <w:t>facility to operate in parallel with and deliver electric energy to Company’s system and provide reliable and safe operation of, and power quality on, Company’s system.</w:t>
      </w:r>
    </w:p>
    <w:p w14:paraId="59F281AB" w14:textId="77777777" w:rsidR="004F0E63" w:rsidRDefault="004F0E63" w:rsidP="00F43624">
      <w:pPr>
        <w:pStyle w:val="NoSpacing"/>
        <w:numPr>
          <w:ilvl w:val="1"/>
          <w:numId w:val="12"/>
        </w:numPr>
      </w:pPr>
      <w:r w:rsidRPr="00A65002">
        <w:rPr>
          <w:u w:val="single"/>
        </w:rPr>
        <w:t>Grid Connection Point</w:t>
      </w:r>
      <w:r>
        <w:t xml:space="preserve"> – The point that the new interconnection facilities associated with the Proposer’s project interconnects to the Company’s existing electrical grid.</w:t>
      </w:r>
    </w:p>
    <w:p w14:paraId="47656F89" w14:textId="478D1716" w:rsidR="004F0E63" w:rsidRDefault="004F0E63" w:rsidP="00F43624">
      <w:pPr>
        <w:pStyle w:val="NoSpacing"/>
        <w:numPr>
          <w:ilvl w:val="1"/>
          <w:numId w:val="12"/>
        </w:numPr>
      </w:pPr>
      <w:r w:rsidRPr="00A65002">
        <w:rPr>
          <w:u w:val="single"/>
        </w:rPr>
        <w:t>Interconnection Agreement</w:t>
      </w:r>
      <w:r>
        <w:t xml:space="preserve"> – The executed contract between the Company and Proposer (e.g., Power Purchase Agreement, Standard Interconnection Agreement, etc.).</w:t>
      </w:r>
    </w:p>
    <w:p w14:paraId="1974C29F" w14:textId="77777777" w:rsidR="004F0E63" w:rsidRDefault="004F0E63" w:rsidP="00F43624">
      <w:pPr>
        <w:pStyle w:val="NoSpacing"/>
        <w:numPr>
          <w:ilvl w:val="1"/>
          <w:numId w:val="12"/>
        </w:numPr>
      </w:pPr>
      <w:r w:rsidRPr="00A65002">
        <w:rPr>
          <w:u w:val="single"/>
        </w:rPr>
        <w:t>Point of Interconnection</w:t>
      </w:r>
      <w:r>
        <w:t xml:space="preserve"> – The point of delivery of energy supplied by Proposer to Company, where the Facility owned by the Proposer interconnects with the facilities owned or to be owned by the Company.</w:t>
      </w:r>
    </w:p>
    <w:p w14:paraId="2F5B1E29" w14:textId="710BAB5F" w:rsidR="004F0E63" w:rsidRDefault="004F0E63" w:rsidP="00F43624">
      <w:pPr>
        <w:pStyle w:val="NoSpacing"/>
        <w:numPr>
          <w:ilvl w:val="1"/>
          <w:numId w:val="12"/>
        </w:numPr>
      </w:pPr>
      <w:r>
        <w:rPr>
          <w:u w:val="single"/>
        </w:rPr>
        <w:t>Proposer</w:t>
      </w:r>
      <w:r>
        <w:t xml:space="preserve"> – The developer proposing a</w:t>
      </w:r>
      <w:r w:rsidR="007858D4">
        <w:t>n</w:t>
      </w:r>
      <w:r>
        <w:t xml:space="preserve"> </w:t>
      </w:r>
      <w:r w:rsidR="007858D4">
        <w:t xml:space="preserve">energy storage </w:t>
      </w:r>
      <w:r>
        <w:t>project in response to a Company RFP.</w:t>
      </w:r>
    </w:p>
    <w:p w14:paraId="17E13891" w14:textId="77777777" w:rsidR="004F0E63" w:rsidRDefault="004F0E63" w:rsidP="004F0E63">
      <w:pPr>
        <w:pStyle w:val="Heading2"/>
      </w:pPr>
      <w:bookmarkStart w:id="4" w:name="_Toc82784876"/>
      <w:r>
        <w:t>1.2 – Abbreviations</w:t>
      </w:r>
      <w:bookmarkEnd w:id="4"/>
    </w:p>
    <w:p w14:paraId="3643D80F" w14:textId="07706B49" w:rsidR="004F0E63" w:rsidRPr="004F0E63" w:rsidRDefault="004F0E63" w:rsidP="00F43624">
      <w:pPr>
        <w:pStyle w:val="NoSpacing"/>
        <w:numPr>
          <w:ilvl w:val="1"/>
          <w:numId w:val="13"/>
        </w:numPr>
        <w:rPr>
          <w:u w:val="single"/>
        </w:rPr>
      </w:pPr>
      <w:r w:rsidRPr="00A65002">
        <w:rPr>
          <w:u w:val="single"/>
        </w:rPr>
        <w:t>ADSS</w:t>
      </w:r>
      <w:r>
        <w:t xml:space="preserve"> – All Dielectric Self-Supporting</w:t>
      </w:r>
    </w:p>
    <w:p w14:paraId="7ED0726F" w14:textId="3A267F57" w:rsidR="004F0E63" w:rsidRPr="00520E77" w:rsidRDefault="004F0E63" w:rsidP="00F43624">
      <w:pPr>
        <w:pStyle w:val="NoSpacing"/>
        <w:numPr>
          <w:ilvl w:val="1"/>
          <w:numId w:val="13"/>
        </w:numPr>
        <w:rPr>
          <w:u w:val="single"/>
        </w:rPr>
      </w:pPr>
      <w:r>
        <w:rPr>
          <w:u w:val="single"/>
        </w:rPr>
        <w:t>BESS</w:t>
      </w:r>
      <w:r>
        <w:t xml:space="preserve"> – Battery Energy Storage System</w:t>
      </w:r>
    </w:p>
    <w:p w14:paraId="63C498EE" w14:textId="44D05597" w:rsidR="004F0E63" w:rsidRPr="00520E77" w:rsidRDefault="004F0E63" w:rsidP="00F43624">
      <w:pPr>
        <w:pStyle w:val="NoSpacing"/>
        <w:numPr>
          <w:ilvl w:val="1"/>
          <w:numId w:val="13"/>
        </w:numPr>
        <w:rPr>
          <w:u w:val="single"/>
        </w:rPr>
      </w:pPr>
      <w:r w:rsidRPr="00A65002">
        <w:rPr>
          <w:u w:val="single"/>
        </w:rPr>
        <w:t>COIF</w:t>
      </w:r>
      <w:r>
        <w:t xml:space="preserve"> – Company-Owned Interconnection Facilities</w:t>
      </w:r>
    </w:p>
    <w:p w14:paraId="082BC85E" w14:textId="77777777" w:rsidR="004F0E63" w:rsidRPr="00A65002" w:rsidRDefault="004F0E63" w:rsidP="00F43624">
      <w:pPr>
        <w:pStyle w:val="NoSpacing"/>
        <w:numPr>
          <w:ilvl w:val="1"/>
          <w:numId w:val="13"/>
        </w:numPr>
        <w:rPr>
          <w:u w:val="single"/>
        </w:rPr>
      </w:pPr>
      <w:r>
        <w:rPr>
          <w:u w:val="single"/>
        </w:rPr>
        <w:t>CSAT</w:t>
      </w:r>
      <w:r>
        <w:t xml:space="preserve"> – Control System Acceptance Test</w:t>
      </w:r>
    </w:p>
    <w:p w14:paraId="12B272D3" w14:textId="77777777" w:rsidR="004F0E63" w:rsidRPr="00A65002" w:rsidRDefault="004F0E63" w:rsidP="00F43624">
      <w:pPr>
        <w:pStyle w:val="NoSpacing"/>
        <w:numPr>
          <w:ilvl w:val="1"/>
          <w:numId w:val="13"/>
        </w:numPr>
        <w:rPr>
          <w:u w:val="single"/>
        </w:rPr>
      </w:pPr>
      <w:r w:rsidRPr="00A65002">
        <w:rPr>
          <w:u w:val="single"/>
        </w:rPr>
        <w:t>CT</w:t>
      </w:r>
      <w:r>
        <w:t xml:space="preserve"> – Current Transformer</w:t>
      </w:r>
    </w:p>
    <w:p w14:paraId="62EBD6BA" w14:textId="77777777" w:rsidR="004F0E63" w:rsidRPr="00A65002" w:rsidRDefault="004F0E63" w:rsidP="00F43624">
      <w:pPr>
        <w:pStyle w:val="NoSpacing"/>
        <w:numPr>
          <w:ilvl w:val="1"/>
          <w:numId w:val="13"/>
        </w:numPr>
        <w:rPr>
          <w:u w:val="single"/>
        </w:rPr>
      </w:pPr>
      <w:r w:rsidRPr="00A65002">
        <w:rPr>
          <w:u w:val="single"/>
        </w:rPr>
        <w:t>DFR</w:t>
      </w:r>
      <w:r>
        <w:t xml:space="preserve"> – Digital Fault Recorder</w:t>
      </w:r>
    </w:p>
    <w:p w14:paraId="0C9981C1" w14:textId="77777777" w:rsidR="004F0E63" w:rsidRPr="00A65002" w:rsidRDefault="004F0E63" w:rsidP="00F43624">
      <w:pPr>
        <w:pStyle w:val="NoSpacing"/>
        <w:numPr>
          <w:ilvl w:val="1"/>
          <w:numId w:val="13"/>
        </w:numPr>
        <w:rPr>
          <w:u w:val="single"/>
        </w:rPr>
      </w:pPr>
      <w:r w:rsidRPr="00A65002">
        <w:rPr>
          <w:u w:val="single"/>
        </w:rPr>
        <w:t>DTT</w:t>
      </w:r>
      <w:r>
        <w:t xml:space="preserve"> – Direct Transfer Trip</w:t>
      </w:r>
    </w:p>
    <w:p w14:paraId="781376F7" w14:textId="77777777" w:rsidR="004F0E63" w:rsidRPr="00A65002" w:rsidRDefault="004F0E63" w:rsidP="00F43624">
      <w:pPr>
        <w:pStyle w:val="NoSpacing"/>
        <w:numPr>
          <w:ilvl w:val="1"/>
          <w:numId w:val="13"/>
        </w:numPr>
        <w:rPr>
          <w:u w:val="single"/>
        </w:rPr>
      </w:pPr>
      <w:r w:rsidRPr="00A65002">
        <w:rPr>
          <w:u w:val="single"/>
        </w:rPr>
        <w:t>FS</w:t>
      </w:r>
      <w:r>
        <w:t xml:space="preserve"> – Facility Study</w:t>
      </w:r>
    </w:p>
    <w:p w14:paraId="1DC7E83B" w14:textId="77777777" w:rsidR="004F0E63" w:rsidRPr="00A65002" w:rsidRDefault="004F0E63" w:rsidP="00F43624">
      <w:pPr>
        <w:pStyle w:val="NoSpacing"/>
        <w:numPr>
          <w:ilvl w:val="1"/>
          <w:numId w:val="13"/>
        </w:numPr>
        <w:rPr>
          <w:u w:val="single"/>
        </w:rPr>
      </w:pPr>
      <w:r w:rsidRPr="00A65002">
        <w:rPr>
          <w:u w:val="single"/>
        </w:rPr>
        <w:t>GCP</w:t>
      </w:r>
      <w:r>
        <w:t xml:space="preserve"> – Grid Connection Point</w:t>
      </w:r>
    </w:p>
    <w:p w14:paraId="1924D4B6" w14:textId="77777777" w:rsidR="004F0E63" w:rsidRPr="00A65002" w:rsidRDefault="004F0E63" w:rsidP="00F43624">
      <w:pPr>
        <w:pStyle w:val="NoSpacing"/>
        <w:numPr>
          <w:ilvl w:val="1"/>
          <w:numId w:val="13"/>
        </w:numPr>
        <w:rPr>
          <w:u w:val="single"/>
        </w:rPr>
      </w:pPr>
      <w:r w:rsidRPr="00A65002">
        <w:rPr>
          <w:u w:val="single"/>
        </w:rPr>
        <w:t>HVAC</w:t>
      </w:r>
      <w:r>
        <w:t xml:space="preserve"> – Heating, Ventilation, and Air Conditioning</w:t>
      </w:r>
    </w:p>
    <w:p w14:paraId="35010337" w14:textId="77777777" w:rsidR="004F0E63" w:rsidRPr="00520E77" w:rsidRDefault="004F0E63" w:rsidP="00F43624">
      <w:pPr>
        <w:pStyle w:val="NoSpacing"/>
        <w:numPr>
          <w:ilvl w:val="1"/>
          <w:numId w:val="13"/>
        </w:numPr>
        <w:rPr>
          <w:u w:val="single"/>
        </w:rPr>
      </w:pPr>
      <w:r w:rsidRPr="00A65002">
        <w:rPr>
          <w:u w:val="single"/>
        </w:rPr>
        <w:t>IRS</w:t>
      </w:r>
      <w:r>
        <w:t xml:space="preserve"> – Interconnection Requirements Study (includes both SIS and FS)</w:t>
      </w:r>
    </w:p>
    <w:p w14:paraId="02E51832" w14:textId="77777777" w:rsidR="004F0E63" w:rsidRPr="00A65002" w:rsidRDefault="004F0E63" w:rsidP="00F43624">
      <w:pPr>
        <w:pStyle w:val="NoSpacing"/>
        <w:numPr>
          <w:ilvl w:val="1"/>
          <w:numId w:val="13"/>
        </w:numPr>
        <w:rPr>
          <w:u w:val="single"/>
        </w:rPr>
      </w:pPr>
      <w:r>
        <w:rPr>
          <w:u w:val="single"/>
        </w:rPr>
        <w:lastRenderedPageBreak/>
        <w:t>NDA</w:t>
      </w:r>
      <w:r>
        <w:t xml:space="preserve"> – Non-Disclosure Agreement</w:t>
      </w:r>
    </w:p>
    <w:p w14:paraId="29DDE705" w14:textId="77777777" w:rsidR="004F0E63" w:rsidRPr="00A65002" w:rsidRDefault="004F0E63" w:rsidP="00F43624">
      <w:pPr>
        <w:pStyle w:val="NoSpacing"/>
        <w:numPr>
          <w:ilvl w:val="1"/>
          <w:numId w:val="13"/>
        </w:numPr>
        <w:rPr>
          <w:u w:val="single"/>
        </w:rPr>
      </w:pPr>
      <w:r w:rsidRPr="00A65002">
        <w:rPr>
          <w:u w:val="single"/>
        </w:rPr>
        <w:t>OPGW</w:t>
      </w:r>
      <w:r w:rsidRPr="00BE194E">
        <w:t>-</w:t>
      </w:r>
      <w:r>
        <w:t xml:space="preserve"> Optical Ground Wire</w:t>
      </w:r>
    </w:p>
    <w:p w14:paraId="40F46EC7" w14:textId="77777777" w:rsidR="004F0E63" w:rsidRPr="00A65002" w:rsidRDefault="004F0E63" w:rsidP="00F43624">
      <w:pPr>
        <w:pStyle w:val="NoSpacing"/>
        <w:numPr>
          <w:ilvl w:val="1"/>
          <w:numId w:val="13"/>
        </w:numPr>
        <w:rPr>
          <w:u w:val="single"/>
        </w:rPr>
      </w:pPr>
      <w:r w:rsidRPr="00A65002">
        <w:rPr>
          <w:u w:val="single"/>
        </w:rPr>
        <w:t>POI</w:t>
      </w:r>
      <w:r>
        <w:t xml:space="preserve"> – Point of Interconnection</w:t>
      </w:r>
    </w:p>
    <w:p w14:paraId="7C4AAF77" w14:textId="77777777" w:rsidR="004F0E63" w:rsidRPr="00A65002" w:rsidRDefault="004F0E63" w:rsidP="00F43624">
      <w:pPr>
        <w:pStyle w:val="NoSpacing"/>
        <w:numPr>
          <w:ilvl w:val="1"/>
          <w:numId w:val="13"/>
        </w:numPr>
        <w:rPr>
          <w:u w:val="single"/>
        </w:rPr>
      </w:pPr>
      <w:r w:rsidRPr="00A65002">
        <w:rPr>
          <w:u w:val="single"/>
        </w:rPr>
        <w:t>PT</w:t>
      </w:r>
      <w:r>
        <w:t xml:space="preserve"> – Potential Transformer</w:t>
      </w:r>
    </w:p>
    <w:p w14:paraId="583A6D01" w14:textId="77777777" w:rsidR="004F0E63" w:rsidRPr="00A65002" w:rsidRDefault="004F0E63" w:rsidP="00F43624">
      <w:pPr>
        <w:pStyle w:val="NoSpacing"/>
        <w:numPr>
          <w:ilvl w:val="1"/>
          <w:numId w:val="13"/>
        </w:numPr>
        <w:rPr>
          <w:u w:val="single"/>
        </w:rPr>
      </w:pPr>
      <w:r w:rsidRPr="00A65002">
        <w:rPr>
          <w:u w:val="single"/>
        </w:rPr>
        <w:t>RTU</w:t>
      </w:r>
      <w:r>
        <w:t xml:space="preserve"> – Remote Terminal Unit</w:t>
      </w:r>
    </w:p>
    <w:p w14:paraId="5474941B" w14:textId="77777777" w:rsidR="004F0E63" w:rsidRPr="00A65002" w:rsidRDefault="004F0E63" w:rsidP="00F43624">
      <w:pPr>
        <w:pStyle w:val="NoSpacing"/>
        <w:numPr>
          <w:ilvl w:val="1"/>
          <w:numId w:val="13"/>
        </w:numPr>
        <w:rPr>
          <w:u w:val="single"/>
        </w:rPr>
      </w:pPr>
      <w:r w:rsidRPr="00A65002">
        <w:rPr>
          <w:u w:val="single"/>
        </w:rPr>
        <w:t>SCADA</w:t>
      </w:r>
      <w:r>
        <w:t xml:space="preserve"> – Supervisory Control and Data Acquisition</w:t>
      </w:r>
    </w:p>
    <w:p w14:paraId="1762BA5C" w14:textId="77777777" w:rsidR="004F0E63" w:rsidRPr="00A65002" w:rsidRDefault="004F0E63" w:rsidP="00F43624">
      <w:pPr>
        <w:pStyle w:val="NoSpacing"/>
        <w:numPr>
          <w:ilvl w:val="1"/>
          <w:numId w:val="13"/>
        </w:numPr>
        <w:rPr>
          <w:u w:val="single"/>
        </w:rPr>
      </w:pPr>
      <w:r w:rsidRPr="00A65002">
        <w:rPr>
          <w:u w:val="single"/>
        </w:rPr>
        <w:t>SIS</w:t>
      </w:r>
      <w:r>
        <w:t xml:space="preserve"> – System Impact Study</w:t>
      </w:r>
    </w:p>
    <w:p w14:paraId="41941A23" w14:textId="77777777" w:rsidR="004F0E63" w:rsidRPr="00A65002" w:rsidRDefault="004F0E63" w:rsidP="00F43624">
      <w:pPr>
        <w:pStyle w:val="NoSpacing"/>
        <w:numPr>
          <w:ilvl w:val="1"/>
          <w:numId w:val="13"/>
        </w:numPr>
        <w:rPr>
          <w:u w:val="single"/>
        </w:rPr>
      </w:pPr>
      <w:r w:rsidRPr="00A65002">
        <w:rPr>
          <w:u w:val="single"/>
        </w:rPr>
        <w:t>UFLS</w:t>
      </w:r>
      <w:r>
        <w:t xml:space="preserve"> – Under-Frequency Load Shed</w:t>
      </w:r>
    </w:p>
    <w:p w14:paraId="5AF0190F" w14:textId="69C995D6" w:rsidR="004F0E63" w:rsidRDefault="004F0E63" w:rsidP="004F0E63">
      <w:pPr>
        <w:pStyle w:val="Heading2"/>
      </w:pPr>
      <w:bookmarkStart w:id="5" w:name="_Toc82784877"/>
      <w:r w:rsidRPr="00520E77">
        <w:t xml:space="preserve">1.3 – Facilities At </w:t>
      </w:r>
      <w:r w:rsidR="00B030BF">
        <w:rPr>
          <w:lang w:val="en-US"/>
        </w:rPr>
        <w:t>Proposer</w:t>
      </w:r>
      <w:r w:rsidR="00B030BF" w:rsidRPr="00520E77">
        <w:t xml:space="preserve"> </w:t>
      </w:r>
      <w:r w:rsidRPr="00520E77">
        <w:t>Site</w:t>
      </w:r>
      <w:bookmarkEnd w:id="5"/>
    </w:p>
    <w:p w14:paraId="47FE3482" w14:textId="599C41A5" w:rsidR="004F0E63" w:rsidRDefault="004F0E63" w:rsidP="00F43624">
      <w:pPr>
        <w:pStyle w:val="ListParagraph"/>
        <w:numPr>
          <w:ilvl w:val="1"/>
          <w:numId w:val="14"/>
        </w:numPr>
      </w:pPr>
      <w:r>
        <w:t>Proposer shall be responsible for obtaining all permitting and any land rights required that are not provided by Company.</w:t>
      </w:r>
    </w:p>
    <w:p w14:paraId="7E3133D1" w14:textId="4E1E4446" w:rsidR="004F0E63" w:rsidRDefault="004F0E63" w:rsidP="00F43624">
      <w:pPr>
        <w:pStyle w:val="ListParagraph"/>
        <w:numPr>
          <w:ilvl w:val="1"/>
          <w:numId w:val="14"/>
        </w:numPr>
      </w:pPr>
      <w:r>
        <w:t xml:space="preserve">Except for costs agreed to be paid by Company under Item 3 below, Proposer shall be responsible for the design, procurement, and construction of all facilities at the </w:t>
      </w:r>
      <w:r w:rsidR="007F301C">
        <w:t xml:space="preserve">BESS </w:t>
      </w:r>
      <w:r>
        <w:t>site.  This may include, but is not limited to:</w:t>
      </w:r>
    </w:p>
    <w:p w14:paraId="409DDBE7" w14:textId="77777777" w:rsidR="004F0E63" w:rsidRDefault="004F0E63" w:rsidP="00F43624">
      <w:pPr>
        <w:pStyle w:val="ListParagraph"/>
        <w:numPr>
          <w:ilvl w:val="2"/>
          <w:numId w:val="14"/>
        </w:numPr>
      </w:pPr>
      <w:r>
        <w:t>Civil infrastructure and site work (grading, trenching, manholes/handholes, conduits, cable trench, concrete pads/foundations, fencing, roadways/driveways, ground grid, lighting, etc.)</w:t>
      </w:r>
    </w:p>
    <w:p w14:paraId="0309F3E1" w14:textId="77777777" w:rsidR="004F0E63" w:rsidRDefault="004F0E63" w:rsidP="00F43624">
      <w:pPr>
        <w:pStyle w:val="ListParagraph"/>
        <w:numPr>
          <w:ilvl w:val="2"/>
          <w:numId w:val="14"/>
        </w:numPr>
      </w:pPr>
      <w:r>
        <w:t>Communications cabinets and infrastructure (poles/towers for antenna/microwave dish, equipment pads, conduits, foundations, HHs, AC power, grounding, etc.)</w:t>
      </w:r>
    </w:p>
    <w:p w14:paraId="2FDDB2BD" w14:textId="77777777" w:rsidR="004F0E63" w:rsidRDefault="004F0E63" w:rsidP="00F43624">
      <w:pPr>
        <w:pStyle w:val="ListParagraph"/>
        <w:numPr>
          <w:ilvl w:val="2"/>
          <w:numId w:val="14"/>
        </w:numPr>
      </w:pPr>
      <w:r>
        <w:t>Security systems/equipment</w:t>
      </w:r>
    </w:p>
    <w:p w14:paraId="671ED8BF" w14:textId="77777777" w:rsidR="004F0E63" w:rsidRDefault="004F0E63" w:rsidP="00F43624">
      <w:pPr>
        <w:pStyle w:val="ListParagraph"/>
        <w:numPr>
          <w:ilvl w:val="2"/>
          <w:numId w:val="14"/>
        </w:numPr>
      </w:pPr>
      <w:r>
        <w:t>T&amp;D infrastructure drawings showing the route of OH and UG lines and equipment locations at the project site</w:t>
      </w:r>
    </w:p>
    <w:p w14:paraId="256E114C" w14:textId="77777777" w:rsidR="004F0E63" w:rsidRDefault="004F0E63" w:rsidP="00F43624">
      <w:pPr>
        <w:pStyle w:val="ListParagraph"/>
        <w:numPr>
          <w:ilvl w:val="3"/>
          <w:numId w:val="14"/>
        </w:numPr>
      </w:pPr>
      <w:r>
        <w:t xml:space="preserve">Any UG conduits for a T&amp;D line extension that need to extend off the property should </w:t>
      </w:r>
      <w:proofErr w:type="spellStart"/>
      <w:r>
        <w:t>stubout</w:t>
      </w:r>
      <w:proofErr w:type="spellEnd"/>
      <w:r>
        <w:t xml:space="preserve"> at the property line for the Company to connect to</w:t>
      </w:r>
    </w:p>
    <w:p w14:paraId="5E3DCE9D" w14:textId="77777777" w:rsidR="004F0E63" w:rsidRDefault="004F0E63" w:rsidP="00F43624">
      <w:pPr>
        <w:pStyle w:val="ListParagraph"/>
        <w:numPr>
          <w:ilvl w:val="1"/>
          <w:numId w:val="14"/>
        </w:numPr>
      </w:pPr>
      <w:r>
        <w:t>Company shall be responsible for costs related to the design, procurement, construction, and testing of electrical COIF at the project site.  This may include, but is not limited to:</w:t>
      </w:r>
    </w:p>
    <w:p w14:paraId="042C5885" w14:textId="77777777" w:rsidR="004F0E63" w:rsidRDefault="004F0E63" w:rsidP="00F43624">
      <w:pPr>
        <w:pStyle w:val="NoSpacing"/>
        <w:numPr>
          <w:ilvl w:val="2"/>
          <w:numId w:val="14"/>
        </w:numPr>
      </w:pPr>
      <w:r>
        <w:t>Equipment (circuit breakers, transformers, relays, switches, arresters, batteries, HVAC, RTU, DFR, DTT, meters, PTs, CTs, etc.)</w:t>
      </w:r>
    </w:p>
    <w:p w14:paraId="344CA6FB" w14:textId="77777777" w:rsidR="004F0E63" w:rsidRDefault="004F0E63" w:rsidP="00F43624">
      <w:pPr>
        <w:pStyle w:val="NoSpacing"/>
        <w:numPr>
          <w:ilvl w:val="2"/>
          <w:numId w:val="14"/>
        </w:numPr>
      </w:pPr>
      <w:r>
        <w:t>Pre-wired control equipment enclosure/cabinet</w:t>
      </w:r>
    </w:p>
    <w:p w14:paraId="7BAEBBA7" w14:textId="77777777" w:rsidR="004F0E63" w:rsidRDefault="004F0E63" w:rsidP="00F43624">
      <w:pPr>
        <w:pStyle w:val="NoSpacing"/>
        <w:numPr>
          <w:ilvl w:val="2"/>
          <w:numId w:val="14"/>
        </w:numPr>
      </w:pPr>
      <w:r>
        <w:t>Communications equipment</w:t>
      </w:r>
    </w:p>
    <w:p w14:paraId="7961F904" w14:textId="77777777" w:rsidR="004F0E63" w:rsidRDefault="004F0E63" w:rsidP="00F43624">
      <w:pPr>
        <w:pStyle w:val="NoSpacing"/>
        <w:numPr>
          <w:ilvl w:val="2"/>
          <w:numId w:val="14"/>
        </w:numPr>
      </w:pPr>
      <w:r>
        <w:t>Electrical work (bussing, wiring, lightning protection, fiber optic cable, etc.)</w:t>
      </w:r>
    </w:p>
    <w:p w14:paraId="38ADE901" w14:textId="5D0D70BD" w:rsidR="004F0E63" w:rsidRPr="00585915" w:rsidRDefault="004F0E63" w:rsidP="00585915">
      <w:pPr>
        <w:pStyle w:val="Heading2"/>
        <w:rPr>
          <w:lang w:val="en-US"/>
        </w:rPr>
      </w:pPr>
      <w:bookmarkStart w:id="6" w:name="_Toc82784878"/>
      <w:r>
        <w:t xml:space="preserve">1.4 – </w:t>
      </w:r>
      <w:r w:rsidR="00585915">
        <w:rPr>
          <w:lang w:val="en-US"/>
        </w:rPr>
        <w:t>[Not Used]</w:t>
      </w:r>
      <w:bookmarkEnd w:id="6"/>
    </w:p>
    <w:p w14:paraId="02D09180" w14:textId="77777777" w:rsidR="004F0E63" w:rsidRDefault="004F0E63" w:rsidP="004F0E63">
      <w:pPr>
        <w:pStyle w:val="Heading2"/>
      </w:pPr>
      <w:bookmarkStart w:id="7" w:name="_Toc82784879"/>
      <w:r w:rsidRPr="00520E77">
        <w:t>1.5 – Remote Substation Facilities</w:t>
      </w:r>
      <w:bookmarkEnd w:id="7"/>
    </w:p>
    <w:p w14:paraId="166A8F94" w14:textId="77777777" w:rsidR="004F0E63" w:rsidRDefault="004F0E63" w:rsidP="00F43624">
      <w:pPr>
        <w:pStyle w:val="NoSpacing"/>
        <w:numPr>
          <w:ilvl w:val="1"/>
          <w:numId w:val="15"/>
        </w:numPr>
      </w:pPr>
      <w:r>
        <w:t>Company shall be responsible for all costs.  This may include, but is not limited to:</w:t>
      </w:r>
    </w:p>
    <w:p w14:paraId="1112DD77" w14:textId="77777777" w:rsidR="004F0E63" w:rsidRDefault="004F0E63" w:rsidP="00F43624">
      <w:pPr>
        <w:pStyle w:val="NoSpacing"/>
        <w:numPr>
          <w:ilvl w:val="2"/>
          <w:numId w:val="15"/>
        </w:numPr>
      </w:pPr>
      <w:r>
        <w:t>Betterment</w:t>
      </w:r>
    </w:p>
    <w:p w14:paraId="1BC6C74B" w14:textId="77777777" w:rsidR="004F0E63" w:rsidRDefault="004F0E63" w:rsidP="00F43624">
      <w:pPr>
        <w:pStyle w:val="NoSpacing"/>
        <w:numPr>
          <w:ilvl w:val="2"/>
          <w:numId w:val="15"/>
        </w:numPr>
      </w:pPr>
      <w:r>
        <w:t>System upgrades, changes, or replacement of existing facilities (e.g., breaker replacements, relay upgrade, transformer installs, Under-Frequency Load Shed (UFLS) settings, etc.)</w:t>
      </w:r>
    </w:p>
    <w:p w14:paraId="33D85067" w14:textId="77777777" w:rsidR="004F0E63" w:rsidRDefault="004F0E63" w:rsidP="00F43624">
      <w:pPr>
        <w:pStyle w:val="NoSpacing"/>
        <w:numPr>
          <w:ilvl w:val="2"/>
          <w:numId w:val="15"/>
        </w:numPr>
      </w:pPr>
      <w:r>
        <w:lastRenderedPageBreak/>
        <w:t>Site work associated with those system upgrades (grading, trenching, manholes/handholes, conduits, cable trench, concrete pads/foundations, fencing, roadways/driveways, ground grid, lighting, etc.)</w:t>
      </w:r>
    </w:p>
    <w:p w14:paraId="0C915630" w14:textId="77777777" w:rsidR="004F0E63" w:rsidRDefault="004F0E63" w:rsidP="00F43624">
      <w:pPr>
        <w:pStyle w:val="NoSpacing"/>
        <w:numPr>
          <w:ilvl w:val="2"/>
          <w:numId w:val="15"/>
        </w:numPr>
      </w:pPr>
      <w:r>
        <w:t>Substation structures</w:t>
      </w:r>
    </w:p>
    <w:p w14:paraId="3EA42FF3" w14:textId="77777777" w:rsidR="004F0E63" w:rsidRDefault="004F0E63" w:rsidP="00F43624">
      <w:pPr>
        <w:pStyle w:val="NoSpacing"/>
        <w:numPr>
          <w:ilvl w:val="2"/>
          <w:numId w:val="15"/>
        </w:numPr>
      </w:pPr>
      <w:r>
        <w:t>New control equipment cabinet or existing enclosure expansion</w:t>
      </w:r>
    </w:p>
    <w:p w14:paraId="3BD0662D" w14:textId="77777777" w:rsidR="004F0E63" w:rsidRDefault="004F0E63" w:rsidP="00F43624">
      <w:pPr>
        <w:pStyle w:val="NoSpacing"/>
        <w:numPr>
          <w:ilvl w:val="2"/>
          <w:numId w:val="15"/>
        </w:numPr>
      </w:pPr>
      <w:r>
        <w:t>Equipment (circuit breakers, transformers, relays, switches, arresters, batteries, HVAC, DFR, DTT, meters, PTs, CTs, SCADA equipment, telecommunications routers, etc.)</w:t>
      </w:r>
    </w:p>
    <w:p w14:paraId="44ECB193" w14:textId="77777777" w:rsidR="004F0E63" w:rsidRDefault="004F0E63" w:rsidP="00F43624">
      <w:pPr>
        <w:pStyle w:val="NoSpacing"/>
        <w:numPr>
          <w:ilvl w:val="2"/>
          <w:numId w:val="15"/>
        </w:numPr>
      </w:pPr>
      <w:r>
        <w:t>Electrical work (bussing, wiring, lightning protection, fiber optic cable, etc.)</w:t>
      </w:r>
    </w:p>
    <w:p w14:paraId="47653D74" w14:textId="77777777" w:rsidR="004F0E63" w:rsidRDefault="004F0E63" w:rsidP="00F43624">
      <w:pPr>
        <w:pStyle w:val="NoSpacing"/>
        <w:numPr>
          <w:ilvl w:val="2"/>
          <w:numId w:val="15"/>
        </w:numPr>
      </w:pPr>
      <w:r>
        <w:t>Telecommunications equipment</w:t>
      </w:r>
    </w:p>
    <w:p w14:paraId="3F81995C" w14:textId="1A825356" w:rsidR="004F0E63" w:rsidRDefault="004F0E63" w:rsidP="004F0E63">
      <w:pPr>
        <w:pStyle w:val="Heading2"/>
      </w:pPr>
      <w:bookmarkStart w:id="8" w:name="_Toc82784880"/>
      <w:r w:rsidRPr="00520E77">
        <w:t xml:space="preserve">1.6 – Line Extension from Grid Connection Point (GCP) To </w:t>
      </w:r>
      <w:r w:rsidR="00B030BF">
        <w:rPr>
          <w:lang w:val="en-US"/>
        </w:rPr>
        <w:t>Proposer</w:t>
      </w:r>
      <w:r w:rsidR="00B030BF" w:rsidRPr="00520E77">
        <w:t xml:space="preserve"> </w:t>
      </w:r>
      <w:r w:rsidRPr="00520E77">
        <w:t>Site</w:t>
      </w:r>
      <w:bookmarkEnd w:id="8"/>
    </w:p>
    <w:p w14:paraId="69E52BF8" w14:textId="77777777" w:rsidR="004F0E63" w:rsidRDefault="004F0E63" w:rsidP="00F43624">
      <w:pPr>
        <w:pStyle w:val="NoSpacing"/>
        <w:numPr>
          <w:ilvl w:val="1"/>
          <w:numId w:val="16"/>
        </w:numPr>
      </w:pPr>
      <w:r>
        <w:t>Company shall be responsible for the design, procurement, and construction of the line extension between the GCP and the Proposer site.  This may include, but is not limited to:</w:t>
      </w:r>
    </w:p>
    <w:p w14:paraId="17D4C939" w14:textId="77777777" w:rsidR="004F0E63" w:rsidRDefault="004F0E63" w:rsidP="00F43624">
      <w:pPr>
        <w:pStyle w:val="NoSpacing"/>
        <w:numPr>
          <w:ilvl w:val="2"/>
          <w:numId w:val="16"/>
        </w:numPr>
      </w:pPr>
      <w:r>
        <w:t>Overhead electrical facilities (poles, conductor, insulators, crossarms, guy wires, etc.)</w:t>
      </w:r>
    </w:p>
    <w:p w14:paraId="59385A69" w14:textId="77777777" w:rsidR="004F0E63" w:rsidRDefault="004F0E63" w:rsidP="00F43624">
      <w:pPr>
        <w:pStyle w:val="NoSpacing"/>
        <w:numPr>
          <w:ilvl w:val="2"/>
          <w:numId w:val="16"/>
        </w:numPr>
      </w:pPr>
      <w:r>
        <w:t>Underground electrical facilities (cables, splices, terminations, grounding, transformers, switchgears, etc.)</w:t>
      </w:r>
    </w:p>
    <w:p w14:paraId="61F14BA7" w14:textId="77777777" w:rsidR="004F0E63" w:rsidRDefault="004F0E63" w:rsidP="00F43624">
      <w:pPr>
        <w:pStyle w:val="NoSpacing"/>
        <w:numPr>
          <w:ilvl w:val="2"/>
          <w:numId w:val="16"/>
        </w:numPr>
      </w:pPr>
      <w:r>
        <w:t>Civil/structural work (design, survey, grading, trenching, conduits, manholes/handholes, concrete pads, concrete pier foundations, pole hole excavation, etc.)</w:t>
      </w:r>
    </w:p>
    <w:p w14:paraId="00F039E3" w14:textId="77777777" w:rsidR="004F0E63" w:rsidRDefault="004F0E63" w:rsidP="00F43624">
      <w:pPr>
        <w:pStyle w:val="NoSpacing"/>
        <w:numPr>
          <w:ilvl w:val="2"/>
          <w:numId w:val="16"/>
        </w:numPr>
      </w:pPr>
      <w:r>
        <w:t>Vegetation trimming and traffic control</w:t>
      </w:r>
    </w:p>
    <w:p w14:paraId="1AE96261" w14:textId="77777777" w:rsidR="004F0E63" w:rsidRDefault="004F0E63" w:rsidP="00F43624">
      <w:pPr>
        <w:pStyle w:val="NoSpacing"/>
        <w:numPr>
          <w:ilvl w:val="2"/>
          <w:numId w:val="16"/>
        </w:numPr>
      </w:pPr>
      <w:r>
        <w:t>Betterment</w:t>
      </w:r>
    </w:p>
    <w:p w14:paraId="066FDD76" w14:textId="08F48AF5" w:rsidR="004F0E63" w:rsidRDefault="004F0E63" w:rsidP="00F43624">
      <w:pPr>
        <w:pStyle w:val="NoSpacing"/>
        <w:numPr>
          <w:ilvl w:val="1"/>
          <w:numId w:val="16"/>
        </w:numPr>
      </w:pPr>
      <w:r>
        <w:t>Proposer shall be responsible for obtaining all permitting and land rights.</w:t>
      </w:r>
    </w:p>
    <w:p w14:paraId="012CB3DF" w14:textId="77777777" w:rsidR="004F0E63" w:rsidRDefault="004F0E63" w:rsidP="004F0E63">
      <w:pPr>
        <w:pStyle w:val="Heading2"/>
      </w:pPr>
      <w:bookmarkStart w:id="9" w:name="_Toc82784881"/>
      <w:r>
        <w:t>1.7 – T&amp;D System Upgrades</w:t>
      </w:r>
      <w:bookmarkEnd w:id="9"/>
    </w:p>
    <w:p w14:paraId="2AFD15A4" w14:textId="77777777" w:rsidR="004F0E63" w:rsidRDefault="004F0E63" w:rsidP="00F43624">
      <w:pPr>
        <w:pStyle w:val="NoSpacing"/>
        <w:numPr>
          <w:ilvl w:val="1"/>
          <w:numId w:val="17"/>
        </w:numPr>
      </w:pPr>
      <w:r>
        <w:t>Company shall be responsible for all costs related to system upgrades or changes required to accommodate the Proposer’s project (e.g., reconductoring or recircuiting of existing lines that do not have the required ampacity, re-fusing or re-programming of protective devices upstream of the GCP, etc.)</w:t>
      </w:r>
    </w:p>
    <w:p w14:paraId="495AD4A5" w14:textId="77777777" w:rsidR="004F0E63" w:rsidRDefault="004F0E63" w:rsidP="004F0E63">
      <w:pPr>
        <w:pStyle w:val="Heading2"/>
      </w:pPr>
      <w:bookmarkStart w:id="10" w:name="_Toc82784882"/>
      <w:r w:rsidRPr="00520E77">
        <w:t>1.8 – Company-Owned Fiber</w:t>
      </w:r>
      <w:bookmarkEnd w:id="10"/>
    </w:p>
    <w:p w14:paraId="3C9C984E" w14:textId="77777777" w:rsidR="004F0E63" w:rsidRDefault="004F0E63" w:rsidP="00F43624">
      <w:pPr>
        <w:pStyle w:val="NoSpacing"/>
        <w:numPr>
          <w:ilvl w:val="1"/>
          <w:numId w:val="18"/>
        </w:numPr>
      </w:pPr>
      <w:r>
        <w:t>If Company-owned fiber is used to satisfy the communications requirements in the IRS, then the Company shall be responsible for all costs related to the design, procurement, construction, and testing of the ADSS fiber or OPGW from the nearest existing splice point to the Proposer site.  This may include, but is not limited to:</w:t>
      </w:r>
    </w:p>
    <w:p w14:paraId="5E8BC46C" w14:textId="77777777" w:rsidR="004F0E63" w:rsidRDefault="004F0E63" w:rsidP="00F43624">
      <w:pPr>
        <w:pStyle w:val="NoSpacing"/>
        <w:numPr>
          <w:ilvl w:val="2"/>
          <w:numId w:val="18"/>
        </w:numPr>
      </w:pPr>
      <w:r>
        <w:t xml:space="preserve">Company fiber-optic cable (ADSS fiber cable or OPGW </w:t>
      </w:r>
      <w:proofErr w:type="spellStart"/>
      <w:r>
        <w:t>shieldwire</w:t>
      </w:r>
      <w:proofErr w:type="spellEnd"/>
      <w:r>
        <w:t>) and associated equipment/hardware (splice boxes, innerduct, vibration dampers, etc.)</w:t>
      </w:r>
    </w:p>
    <w:p w14:paraId="32FB4624" w14:textId="77777777" w:rsidR="004F0E63" w:rsidRDefault="004F0E63" w:rsidP="00F43624">
      <w:pPr>
        <w:pStyle w:val="NoSpacing"/>
        <w:numPr>
          <w:ilvl w:val="2"/>
          <w:numId w:val="18"/>
        </w:numPr>
      </w:pPr>
      <w:r>
        <w:t>Splicing and Testing of fiber strands</w:t>
      </w:r>
    </w:p>
    <w:p w14:paraId="6CBEA3EC" w14:textId="77777777" w:rsidR="004F0E63" w:rsidRDefault="004F0E63" w:rsidP="00F43624">
      <w:pPr>
        <w:pStyle w:val="NoSpacing"/>
        <w:numPr>
          <w:ilvl w:val="2"/>
          <w:numId w:val="18"/>
        </w:numPr>
      </w:pPr>
      <w:r>
        <w:t>Pole replacements and additional equipment if needed for additional capacity</w:t>
      </w:r>
    </w:p>
    <w:p w14:paraId="68A3948F" w14:textId="77777777" w:rsidR="004F0E63" w:rsidRDefault="004F0E63" w:rsidP="00F43624">
      <w:pPr>
        <w:pStyle w:val="NoSpacing"/>
        <w:numPr>
          <w:ilvl w:val="2"/>
          <w:numId w:val="18"/>
        </w:numPr>
      </w:pPr>
      <w:r>
        <w:lastRenderedPageBreak/>
        <w:t>Civil/structural work outside of Proposer’s project site (design, survey, grading, trenching, conduits, manholes/handholes, concrete pads, concrete pier foundations, pole hole excavation, etc.)</w:t>
      </w:r>
    </w:p>
    <w:p w14:paraId="66872DA7" w14:textId="77777777" w:rsidR="004F0E63" w:rsidRDefault="004F0E63" w:rsidP="00F43624">
      <w:pPr>
        <w:pStyle w:val="NoSpacing"/>
        <w:numPr>
          <w:ilvl w:val="2"/>
          <w:numId w:val="18"/>
        </w:numPr>
      </w:pPr>
      <w:r>
        <w:t>Vegetation trimming and traffic control</w:t>
      </w:r>
    </w:p>
    <w:p w14:paraId="6AEF5B99" w14:textId="77777777" w:rsidR="004F0E63" w:rsidRDefault="004F0E63" w:rsidP="00F43624">
      <w:pPr>
        <w:pStyle w:val="NoSpacing"/>
        <w:numPr>
          <w:ilvl w:val="2"/>
          <w:numId w:val="18"/>
        </w:numPr>
      </w:pPr>
      <w:r>
        <w:t>Betterment</w:t>
      </w:r>
    </w:p>
    <w:p w14:paraId="7B99E70D" w14:textId="77777777" w:rsidR="004F0E63" w:rsidRDefault="004F0E63" w:rsidP="00F43624">
      <w:pPr>
        <w:pStyle w:val="NoSpacing"/>
        <w:numPr>
          <w:ilvl w:val="1"/>
          <w:numId w:val="18"/>
        </w:numPr>
      </w:pPr>
      <w:r>
        <w:t>Proposer shall be responsible for obtaining all permitting and land rights.</w:t>
      </w:r>
    </w:p>
    <w:p w14:paraId="2C925758" w14:textId="77777777" w:rsidR="004F0E63" w:rsidRDefault="004F0E63" w:rsidP="004F0E63">
      <w:pPr>
        <w:pStyle w:val="Heading2"/>
      </w:pPr>
      <w:bookmarkStart w:id="11" w:name="_Toc82784883"/>
      <w:r w:rsidRPr="00520E77">
        <w:t>1.9 – Telecommunication Facilities</w:t>
      </w:r>
      <w:bookmarkEnd w:id="11"/>
    </w:p>
    <w:p w14:paraId="052DA27D" w14:textId="77777777" w:rsidR="004F0E63" w:rsidRDefault="004F0E63" w:rsidP="00F43624">
      <w:pPr>
        <w:pStyle w:val="NoSpacing"/>
        <w:numPr>
          <w:ilvl w:val="1"/>
          <w:numId w:val="19"/>
        </w:numPr>
      </w:pPr>
      <w:r>
        <w:t>Company shall be responsible for design, procurement, construction, and testing of Company-owned telecommunication facilities.  This may include, but is not limited to:</w:t>
      </w:r>
    </w:p>
    <w:p w14:paraId="42BF4EE1" w14:textId="77777777" w:rsidR="004F0E63" w:rsidRDefault="004F0E63" w:rsidP="00F43624">
      <w:pPr>
        <w:pStyle w:val="NoSpacing"/>
        <w:numPr>
          <w:ilvl w:val="2"/>
          <w:numId w:val="19"/>
        </w:numPr>
      </w:pPr>
      <w:r>
        <w:t>Fiber cable to the “meet point” outside of Proposer’s facility and termination at Company’s nearest point of interconnection.</w:t>
      </w:r>
    </w:p>
    <w:p w14:paraId="4041F3CA" w14:textId="77777777" w:rsidR="004F0E63" w:rsidRDefault="004F0E63" w:rsidP="00F43624">
      <w:pPr>
        <w:pStyle w:val="NoSpacing"/>
        <w:numPr>
          <w:ilvl w:val="2"/>
          <w:numId w:val="19"/>
        </w:numPr>
      </w:pPr>
      <w:r>
        <w:t>Microwave radio or wireless radio equipment at the Proposer’s facility and at remote site(s) (e.g., microwave dish/equipment, waveguide, cables, antenna system, etc.).</w:t>
      </w:r>
    </w:p>
    <w:p w14:paraId="3D32755C" w14:textId="77777777" w:rsidR="004F0E63" w:rsidRDefault="004F0E63" w:rsidP="00F43624">
      <w:pPr>
        <w:pStyle w:val="NoSpacing"/>
        <w:numPr>
          <w:ilvl w:val="2"/>
          <w:numId w:val="19"/>
        </w:numPr>
      </w:pPr>
      <w:r>
        <w:t>Telecommunication service equipment required to provide circuits to support various applications at the Proposer’s facility.</w:t>
      </w:r>
    </w:p>
    <w:p w14:paraId="53CD1041" w14:textId="77777777" w:rsidR="004F0E63" w:rsidRDefault="004F0E63" w:rsidP="00F43624">
      <w:pPr>
        <w:pStyle w:val="NoSpacing"/>
        <w:numPr>
          <w:ilvl w:val="1"/>
          <w:numId w:val="19"/>
        </w:numPr>
      </w:pPr>
      <w:r>
        <w:t>Proposer shall be responsible for all costs related to the following:</w:t>
      </w:r>
    </w:p>
    <w:p w14:paraId="7CF5728A" w14:textId="77777777" w:rsidR="004F0E63" w:rsidRDefault="004F0E63" w:rsidP="00F43624">
      <w:pPr>
        <w:pStyle w:val="NoSpacing"/>
        <w:numPr>
          <w:ilvl w:val="2"/>
          <w:numId w:val="19"/>
        </w:numPr>
      </w:pPr>
      <w:r>
        <w:t>A telecommunication cabinet required to accommodate the telecommunication equipment at the Proposer’s facility.</w:t>
      </w:r>
    </w:p>
    <w:p w14:paraId="6F380BAB" w14:textId="77777777" w:rsidR="004F0E63" w:rsidRDefault="004F0E63" w:rsidP="00F43624">
      <w:pPr>
        <w:pStyle w:val="NoSpacing"/>
        <w:numPr>
          <w:ilvl w:val="2"/>
          <w:numId w:val="19"/>
        </w:numPr>
      </w:pPr>
      <w:r>
        <w:t>Telecommunication power at the Proposer’s facility (e.g., battery racks, banks, fuse panels, and associated power system equipment).</w:t>
      </w:r>
    </w:p>
    <w:p w14:paraId="5424A2EB" w14:textId="77777777" w:rsidR="004F0E63" w:rsidRDefault="004F0E63" w:rsidP="00F43624">
      <w:pPr>
        <w:pStyle w:val="NoSpacing"/>
        <w:numPr>
          <w:ilvl w:val="2"/>
          <w:numId w:val="19"/>
        </w:numPr>
      </w:pPr>
      <w:r>
        <w:t>Ordering and installing a 3</w:t>
      </w:r>
      <w:r w:rsidRPr="00651EC1">
        <w:rPr>
          <w:vertAlign w:val="superscript"/>
        </w:rPr>
        <w:t>rd</w:t>
      </w:r>
      <w:r>
        <w:t xml:space="preserve"> party leased service at the site.  This may include, but is not limited to the initial cost to establish leased line(s) required for the project, monthly recurring leased cost of the service(s), and on-going maintenance of the service(s).</w:t>
      </w:r>
    </w:p>
    <w:p w14:paraId="1C8AFEB2" w14:textId="77777777" w:rsidR="004F0E63" w:rsidRDefault="004F0E63" w:rsidP="00F43624">
      <w:pPr>
        <w:pStyle w:val="NoSpacing"/>
        <w:numPr>
          <w:ilvl w:val="1"/>
          <w:numId w:val="19"/>
        </w:numPr>
      </w:pPr>
      <w:r>
        <w:t>Proposer shall be responsible for obtaining all permitting and land rights.</w:t>
      </w:r>
    </w:p>
    <w:p w14:paraId="595BA3D8" w14:textId="77777777" w:rsidR="004F0E63" w:rsidRDefault="004F0E63" w:rsidP="004F0E63">
      <w:pPr>
        <w:pStyle w:val="Heading2"/>
      </w:pPr>
      <w:bookmarkStart w:id="12" w:name="_Toc82784884"/>
      <w:r>
        <w:t>1.10 – Control System Acceptance Test (CSAT)</w:t>
      </w:r>
      <w:bookmarkEnd w:id="12"/>
    </w:p>
    <w:p w14:paraId="2BA97860" w14:textId="77777777" w:rsidR="004F0E63" w:rsidRPr="00520E77" w:rsidRDefault="004F0E63" w:rsidP="00F43624">
      <w:pPr>
        <w:pStyle w:val="NoSpacing"/>
        <w:numPr>
          <w:ilvl w:val="1"/>
          <w:numId w:val="20"/>
        </w:numPr>
      </w:pPr>
      <w:r>
        <w:t>Proposer shall be responsible for all costs related to the CSAT, including all Company costs in support of the Proposer’s CSAT.</w:t>
      </w:r>
    </w:p>
    <w:p w14:paraId="166122BC" w14:textId="5379566A" w:rsidR="0089348C" w:rsidRDefault="0089348C" w:rsidP="0089348C">
      <w:pPr>
        <w:jc w:val="both"/>
      </w:pPr>
    </w:p>
    <w:p w14:paraId="415BC543" w14:textId="67BA5D83" w:rsidR="006E52BA" w:rsidRPr="005917C6" w:rsidRDefault="00F26F5F" w:rsidP="00E62F8C">
      <w:pPr>
        <w:pStyle w:val="Heading1"/>
        <w:rPr>
          <w:lang w:val="haw-US"/>
        </w:rPr>
      </w:pPr>
      <w:bookmarkStart w:id="13" w:name="_Toc82784885"/>
      <w:r>
        <w:t xml:space="preserve">Section </w:t>
      </w:r>
      <w:r w:rsidRPr="00922F9E">
        <w:t>2</w:t>
      </w:r>
      <w:r>
        <w:t xml:space="preserve"> – </w:t>
      </w:r>
      <w:r w:rsidR="009E3C87">
        <w:rPr>
          <w:lang w:val="haw-US"/>
        </w:rPr>
        <w:t>Interconnection Requirements</w:t>
      </w:r>
      <w:bookmarkEnd w:id="13"/>
    </w:p>
    <w:p w14:paraId="61DCA8D7" w14:textId="1AD5D178" w:rsidR="002324B1" w:rsidRDefault="004755FA" w:rsidP="00E43A6E">
      <w:pPr>
        <w:jc w:val="both"/>
        <w:rPr>
          <w:lang w:val="haw-US"/>
        </w:rPr>
      </w:pPr>
      <w:r>
        <w:t xml:space="preserve">Section 2 will provide information on the interconnection requirements and responsibilities.  </w:t>
      </w:r>
    </w:p>
    <w:p w14:paraId="55D56800" w14:textId="67BB98CC" w:rsidR="004755FA" w:rsidRDefault="004755FA" w:rsidP="004755FA">
      <w:pPr>
        <w:pStyle w:val="Heading2"/>
        <w:rPr>
          <w:lang w:val="en-US"/>
        </w:rPr>
      </w:pPr>
      <w:bookmarkStart w:id="14" w:name="_Toc82784886"/>
      <w:r>
        <w:t xml:space="preserve">2.1 – </w:t>
      </w:r>
      <w:r>
        <w:rPr>
          <w:lang w:val="en-US"/>
        </w:rPr>
        <w:t>COIF Requirements</w:t>
      </w:r>
    </w:p>
    <w:p w14:paraId="7703BDC9" w14:textId="3DFB0F92" w:rsidR="004755FA" w:rsidRDefault="004755FA" w:rsidP="004755FA">
      <w:pPr>
        <w:ind w:left="360"/>
        <w:rPr>
          <w:rFonts w:eastAsia="MS Mincho"/>
          <w:lang w:eastAsia="ja-JP"/>
        </w:rPr>
      </w:pPr>
      <w:r>
        <w:t xml:space="preserve">Please see </w:t>
      </w:r>
      <w:r>
        <w:rPr>
          <w:u w:val="single"/>
        </w:rPr>
        <w:t>Attachment 1</w:t>
      </w:r>
      <w:r>
        <w:t xml:space="preserve"> for single-line diagram showing the interconnection requirements.</w:t>
      </w:r>
      <w:r w:rsidRPr="0023372B">
        <w:rPr>
          <w:rFonts w:eastAsia="MS Mincho"/>
          <w:lang w:eastAsia="ja-JP"/>
        </w:rPr>
        <w:t xml:space="preserve"> </w:t>
      </w:r>
      <w:r>
        <w:rPr>
          <w:rFonts w:eastAsia="MS Mincho"/>
          <w:lang w:eastAsia="ja-JP"/>
        </w:rPr>
        <w:t xml:space="preserve"> Proposers should do their own due diligence for costs to meet the technical requirements and bring the project to commercial operations.  Company costs will be the same for all proposed projects.</w:t>
      </w:r>
    </w:p>
    <w:p w14:paraId="63912B8E" w14:textId="5340C66B" w:rsidR="004755FA" w:rsidRDefault="004755FA" w:rsidP="004755FA">
      <w:pPr>
        <w:ind w:left="360"/>
        <w:rPr>
          <w:rFonts w:eastAsia="MS Mincho"/>
          <w:lang w:eastAsia="ja-JP"/>
        </w:rPr>
      </w:pPr>
    </w:p>
    <w:p w14:paraId="7708DCEC" w14:textId="2045A705" w:rsidR="004755FA" w:rsidRPr="009228DB" w:rsidRDefault="004755FA" w:rsidP="004755FA">
      <w:pPr>
        <w:ind w:left="360"/>
      </w:pPr>
      <w:r>
        <w:rPr>
          <w:rFonts w:eastAsia="MS Mincho"/>
          <w:lang w:eastAsia="ja-JP"/>
        </w:rPr>
        <w:lastRenderedPageBreak/>
        <w:t xml:space="preserve">Company will build COIF up to the switch on the </w:t>
      </w:r>
      <w:r w:rsidRPr="00834270">
        <w:rPr>
          <w:rFonts w:eastAsia="MS Mincho"/>
          <w:lang w:eastAsia="ja-JP"/>
        </w:rPr>
        <w:t>Seller</w:t>
      </w:r>
      <w:r>
        <w:rPr>
          <w:rFonts w:eastAsia="MS Mincho"/>
          <w:lang w:eastAsia="ja-JP"/>
        </w:rPr>
        <w:t xml:space="preserve"> side of the demarcation shown on Attachment 1.  Proposer to build facilities to meet at that point.</w:t>
      </w:r>
    </w:p>
    <w:p w14:paraId="3FF73CDE" w14:textId="5ED0568C" w:rsidR="00AB1CDB" w:rsidRDefault="00AB1CDB" w:rsidP="00D07DCB">
      <w:pPr>
        <w:pStyle w:val="Heading2"/>
        <w:rPr>
          <w:lang w:val="en-US"/>
        </w:rPr>
      </w:pPr>
      <w:r>
        <w:t>2.</w:t>
      </w:r>
      <w:r w:rsidR="004755FA">
        <w:rPr>
          <w:lang w:val="en-US"/>
        </w:rPr>
        <w:t>2</w:t>
      </w:r>
      <w:r w:rsidR="004755FA">
        <w:t xml:space="preserve"> </w:t>
      </w:r>
      <w:r>
        <w:t xml:space="preserve">– </w:t>
      </w:r>
      <w:bookmarkEnd w:id="14"/>
      <w:r w:rsidR="009A2683">
        <w:rPr>
          <w:lang w:val="en-US"/>
        </w:rPr>
        <w:t>Telecommunications Requirements</w:t>
      </w:r>
    </w:p>
    <w:p w14:paraId="42DF658C" w14:textId="728F2544" w:rsidR="009A2683" w:rsidRPr="00955E13" w:rsidRDefault="004755FA" w:rsidP="001B6850">
      <w:pPr>
        <w:ind w:left="360"/>
      </w:pPr>
      <w:r>
        <w:t xml:space="preserve">Please refer to the RFP for functional requirements for the project.  </w:t>
      </w:r>
      <w:r w:rsidR="009A2683">
        <w:t xml:space="preserve">Company will install a fiber-optic cable between </w:t>
      </w:r>
      <w:proofErr w:type="spellStart"/>
      <w:r w:rsidR="009A2683">
        <w:t>Hawi</w:t>
      </w:r>
      <w:proofErr w:type="spellEnd"/>
      <w:r w:rsidR="009A2683">
        <w:t xml:space="preserve"> Substation and the project site.  Proposer will need to provide</w:t>
      </w:r>
      <w:r>
        <w:t>/install</w:t>
      </w:r>
      <w:r w:rsidR="009A2683">
        <w:t xml:space="preserve"> a patch panel</w:t>
      </w:r>
      <w:r>
        <w:t xml:space="preserve"> in a communications cabinet</w:t>
      </w:r>
      <w:r w:rsidR="009A2683">
        <w:t xml:space="preserve"> </w:t>
      </w:r>
      <w:r w:rsidR="00245BD2">
        <w:t xml:space="preserve">at the project site </w:t>
      </w:r>
      <w:r w:rsidR="009A2683">
        <w:t>for Company to terminate the fiber cables.</w:t>
      </w:r>
    </w:p>
    <w:p w14:paraId="0FC3C6C6" w14:textId="244548AA" w:rsidR="0014693D" w:rsidRPr="00E24A63" w:rsidRDefault="0014693D" w:rsidP="00D07DCB">
      <w:pPr>
        <w:pStyle w:val="Heading2"/>
      </w:pPr>
      <w:bookmarkStart w:id="15" w:name="_Toc82784895"/>
      <w:r w:rsidRPr="00A70081">
        <w:t>2.</w:t>
      </w:r>
      <w:r w:rsidR="004755FA">
        <w:rPr>
          <w:lang w:val="en-US"/>
        </w:rPr>
        <w:t>3</w:t>
      </w:r>
      <w:r w:rsidR="009A2683" w:rsidRPr="00A70081">
        <w:t xml:space="preserve"> </w:t>
      </w:r>
      <w:r w:rsidRPr="00A70081">
        <w:t xml:space="preserve">– </w:t>
      </w:r>
      <w:r w:rsidR="00E24A63">
        <w:t>Typical Security Requirements</w:t>
      </w:r>
      <w:bookmarkEnd w:id="15"/>
    </w:p>
    <w:p w14:paraId="0ABDC381" w14:textId="24460BAA" w:rsidR="00D36907" w:rsidRPr="007760E0" w:rsidRDefault="00D36907" w:rsidP="00D36907">
      <w:pPr>
        <w:ind w:left="360"/>
        <w:rPr>
          <w:lang w:eastAsia="ja-JP"/>
        </w:rPr>
      </w:pPr>
      <w:r w:rsidRPr="007760E0">
        <w:t xml:space="preserve">Security requirements can vary based on many factors including, but not limited to, location, crime rate, environment, aspects of the surrounding area, terrain, accessibility, layout of the facility, etc.  The specific requirements </w:t>
      </w:r>
      <w:r w:rsidRPr="007760E0">
        <w:rPr>
          <w:lang w:eastAsia="ja-JP"/>
        </w:rPr>
        <w:t>for each facility will be subject to final review during the design and engineering phase.  Additional information, including the Company’s Physical Security Strategy, is available upon request after execution of an NDA with the Company.</w:t>
      </w:r>
    </w:p>
    <w:p w14:paraId="2D01DD8B" w14:textId="77777777" w:rsidR="00D36907" w:rsidRPr="007760E0" w:rsidRDefault="00D36907" w:rsidP="00D36907">
      <w:pPr>
        <w:ind w:left="360"/>
        <w:rPr>
          <w:lang w:eastAsia="ja-JP"/>
        </w:rPr>
      </w:pPr>
    </w:p>
    <w:p w14:paraId="3B9CE162" w14:textId="77777777" w:rsidR="00D36907" w:rsidRPr="007760E0" w:rsidRDefault="00D36907" w:rsidP="00F43624">
      <w:pPr>
        <w:pStyle w:val="Heading3"/>
        <w:numPr>
          <w:ilvl w:val="0"/>
          <w:numId w:val="11"/>
        </w:numPr>
      </w:pPr>
      <w:bookmarkStart w:id="16" w:name="_Toc75249553"/>
      <w:bookmarkStart w:id="17" w:name="_Toc82784896"/>
      <w:r w:rsidRPr="007760E0">
        <w:t>Proposer Responsibilities at Proposer Facility</w:t>
      </w:r>
      <w:bookmarkEnd w:id="16"/>
      <w:bookmarkEnd w:id="17"/>
    </w:p>
    <w:p w14:paraId="0C7F35CF" w14:textId="4A5CA825" w:rsidR="00D36907" w:rsidRPr="007760E0" w:rsidRDefault="00D36907" w:rsidP="00D36907">
      <w:pPr>
        <w:ind w:left="360"/>
        <w:rPr>
          <w:rFonts w:eastAsia="MS Mincho"/>
          <w:lang w:eastAsia="ja-JP"/>
        </w:rPr>
      </w:pPr>
      <w:r w:rsidRPr="007760E0">
        <w:rPr>
          <w:rFonts w:eastAsia="MS Mincho"/>
          <w:lang w:eastAsia="ja-JP"/>
        </w:rPr>
        <w:t xml:space="preserve">The Proposer shall be responsible to incorporate security components and systems for </w:t>
      </w:r>
      <w:r w:rsidRPr="007760E0">
        <w:rPr>
          <w:rFonts w:eastAsia="MS Mincho"/>
          <w:b/>
          <w:lang w:eastAsia="ja-JP"/>
        </w:rPr>
        <w:t>their facilities</w:t>
      </w:r>
      <w:r w:rsidRPr="007760E0">
        <w:rPr>
          <w:rFonts w:eastAsia="MS Mincho"/>
          <w:lang w:eastAsia="ja-JP"/>
        </w:rPr>
        <w:t xml:space="preserve"> that consider the Security Guidelines for the Electricity Sector (CIP-014-2):  Physical Security, as published by the North American Electric Reliability Corporation (NERC) and that at a minimum, meet the requirements </w:t>
      </w:r>
      <w:r w:rsidR="001260A7">
        <w:rPr>
          <w:rFonts w:eastAsia="MS Mincho"/>
          <w:lang w:eastAsia="ja-JP"/>
        </w:rPr>
        <w:t>below</w:t>
      </w:r>
      <w:r w:rsidRPr="007760E0">
        <w:rPr>
          <w:rFonts w:eastAsia="MS Mincho"/>
          <w:lang w:eastAsia="ja-JP"/>
        </w:rPr>
        <w:t>.</w:t>
      </w:r>
    </w:p>
    <w:p w14:paraId="07400B70" w14:textId="77777777" w:rsidR="00D36907" w:rsidRPr="007760E0" w:rsidRDefault="00D36907" w:rsidP="00D36907">
      <w:pPr>
        <w:ind w:left="360"/>
        <w:rPr>
          <w:rFonts w:eastAsia="MS Mincho"/>
          <w:lang w:eastAsia="ja-JP"/>
        </w:rPr>
      </w:pPr>
    </w:p>
    <w:p w14:paraId="3F0374DF" w14:textId="77777777" w:rsidR="00D36907" w:rsidRPr="007760E0" w:rsidRDefault="00D36907" w:rsidP="00D36907">
      <w:pPr>
        <w:ind w:left="360"/>
        <w:rPr>
          <w:rFonts w:eastAsia="MS Mincho"/>
          <w:lang w:val="haw-US" w:eastAsia="ja-JP"/>
        </w:rPr>
      </w:pPr>
      <w:r w:rsidRPr="007760E0">
        <w:rPr>
          <w:rFonts w:eastAsia="MS Mincho"/>
          <w:lang w:val="haw-US" w:eastAsia="ja-JP"/>
        </w:rPr>
        <w:t>For Company-owned facilities within the Proposerʻs Facility, Company requires:</w:t>
      </w:r>
    </w:p>
    <w:p w14:paraId="02A756CC" w14:textId="77777777" w:rsidR="00D36907" w:rsidRPr="007760E0" w:rsidRDefault="00D36907" w:rsidP="00F43624">
      <w:pPr>
        <w:numPr>
          <w:ilvl w:val="0"/>
          <w:numId w:val="9"/>
        </w:numPr>
        <w:rPr>
          <w:rFonts w:eastAsia="MS Mincho"/>
          <w:lang w:val="haw-US" w:eastAsia="ja-JP"/>
        </w:rPr>
      </w:pPr>
      <w:r w:rsidRPr="007760E0">
        <w:rPr>
          <w:rFonts w:eastAsia="MS Mincho"/>
          <w:lang w:val="haw-US" w:eastAsia="ja-JP"/>
        </w:rPr>
        <w:t>Standard 8ft high security fence with 3-strand barbed wire V-top.</w:t>
      </w:r>
    </w:p>
    <w:p w14:paraId="68B98408" w14:textId="77777777" w:rsidR="00D36907" w:rsidRPr="007760E0" w:rsidRDefault="00D36907" w:rsidP="00F43624">
      <w:pPr>
        <w:numPr>
          <w:ilvl w:val="0"/>
          <w:numId w:val="9"/>
        </w:numPr>
        <w:rPr>
          <w:rFonts w:eastAsia="MS Mincho"/>
          <w:lang w:val="haw-US" w:eastAsia="ja-JP"/>
        </w:rPr>
      </w:pPr>
      <w:r w:rsidRPr="007760E0">
        <w:rPr>
          <w:rFonts w:eastAsia="MS Mincho"/>
          <w:lang w:val="haw-US" w:eastAsia="ja-JP"/>
        </w:rPr>
        <w:t>Interior mounted 4ʻ high cattle fencing.</w:t>
      </w:r>
    </w:p>
    <w:p w14:paraId="300B2264" w14:textId="77777777" w:rsidR="00D36907" w:rsidRPr="007760E0" w:rsidRDefault="00D36907" w:rsidP="00F43624">
      <w:pPr>
        <w:numPr>
          <w:ilvl w:val="0"/>
          <w:numId w:val="9"/>
        </w:numPr>
        <w:rPr>
          <w:rFonts w:eastAsia="MS Mincho"/>
          <w:lang w:val="haw-US" w:eastAsia="ja-JP"/>
        </w:rPr>
      </w:pPr>
      <w:r w:rsidRPr="007760E0">
        <w:rPr>
          <w:rFonts w:eastAsia="MS Mincho"/>
          <w:lang w:val="haw-US" w:eastAsia="ja-JP"/>
        </w:rPr>
        <w:t>All gates will be secured using a proprietary padlock system.</w:t>
      </w:r>
    </w:p>
    <w:p w14:paraId="36332DFF" w14:textId="77777777" w:rsidR="00D36907" w:rsidRPr="007760E0" w:rsidRDefault="00D36907" w:rsidP="00F43624">
      <w:pPr>
        <w:numPr>
          <w:ilvl w:val="0"/>
          <w:numId w:val="9"/>
        </w:numPr>
        <w:rPr>
          <w:rFonts w:eastAsia="MS Mincho"/>
          <w:lang w:val="haw-US" w:eastAsia="ja-JP"/>
        </w:rPr>
      </w:pPr>
      <w:r w:rsidRPr="007760E0">
        <w:rPr>
          <w:rFonts w:eastAsia="MS Mincho"/>
          <w:lang w:val="haw-US" w:eastAsia="ja-JP"/>
        </w:rPr>
        <w:t>Proposer-owned cabinets/enclosures housing Company equipment shall be secured with a lock provided by Company.</w:t>
      </w:r>
    </w:p>
    <w:p w14:paraId="6478570B" w14:textId="77777777" w:rsidR="00D36907" w:rsidRPr="007760E0" w:rsidRDefault="00D36907" w:rsidP="00F43624">
      <w:pPr>
        <w:numPr>
          <w:ilvl w:val="0"/>
          <w:numId w:val="9"/>
        </w:numPr>
        <w:rPr>
          <w:rFonts w:eastAsia="MS Mincho"/>
          <w:lang w:val="haw-US" w:eastAsia="ja-JP"/>
        </w:rPr>
      </w:pPr>
      <w:r w:rsidRPr="007760E0">
        <w:t>Company requires 24/7 access to Company facilities within the Proposer facility.</w:t>
      </w:r>
    </w:p>
    <w:p w14:paraId="0BF589D1" w14:textId="77777777" w:rsidR="00676560" w:rsidRDefault="00676560" w:rsidP="001B6850">
      <w:pPr>
        <w:rPr>
          <w:lang w:eastAsia="ja-JP"/>
        </w:rPr>
      </w:pPr>
    </w:p>
    <w:p w14:paraId="34919AA9" w14:textId="771932D0" w:rsidR="00B172A2" w:rsidRDefault="00734D97" w:rsidP="00E62F8C">
      <w:pPr>
        <w:pStyle w:val="Heading1"/>
        <w:rPr>
          <w:lang w:eastAsia="ja-JP"/>
        </w:rPr>
      </w:pPr>
      <w:bookmarkStart w:id="18" w:name="_Toc82784903"/>
      <w:bookmarkStart w:id="19" w:name="_Hlk67860350"/>
      <w:r>
        <w:rPr>
          <w:lang w:eastAsia="ja-JP"/>
        </w:rPr>
        <w:t xml:space="preserve">Section </w:t>
      </w:r>
      <w:r w:rsidR="009A2683">
        <w:rPr>
          <w:lang w:eastAsia="ja-JP"/>
        </w:rPr>
        <w:t xml:space="preserve">3 </w:t>
      </w:r>
      <w:r>
        <w:rPr>
          <w:lang w:eastAsia="ja-JP"/>
        </w:rPr>
        <w:t>– Typical Company Durations for Interconnection Projects</w:t>
      </w:r>
      <w:bookmarkEnd w:id="18"/>
    </w:p>
    <w:p w14:paraId="1F49862E" w14:textId="1CBF5C5C" w:rsidR="0045005A" w:rsidRDefault="008B5A30" w:rsidP="00F43624">
      <w:pPr>
        <w:pStyle w:val="NoSpacing"/>
      </w:pPr>
      <w:bookmarkStart w:id="20" w:name="_Hlk67663496"/>
      <w:r w:rsidRPr="00380520">
        <w:t xml:space="preserve">The tables below in Section 4 are to be used as a reference when </w:t>
      </w:r>
      <w:r w:rsidR="000F38DE" w:rsidRPr="00380520">
        <w:t>developing</w:t>
      </w:r>
      <w:r w:rsidRPr="00380520">
        <w:t xml:space="preserve"> a</w:t>
      </w:r>
      <w:r w:rsidR="00676560">
        <w:t>n overall project</w:t>
      </w:r>
      <w:r w:rsidRPr="00380520">
        <w:t xml:space="preserve"> schedule t</w:t>
      </w:r>
      <w:r w:rsidR="00517171" w:rsidRPr="00380520">
        <w:t xml:space="preserve">o assist Proposers in </w:t>
      </w:r>
      <w:r w:rsidR="000F38DE" w:rsidRPr="00380520">
        <w:t xml:space="preserve">setting realistic durations and deadlines for critical milestones. </w:t>
      </w:r>
      <w:r w:rsidRPr="00380520">
        <w:t xml:space="preserve">These tables </w:t>
      </w:r>
      <w:r w:rsidR="00AE65FE" w:rsidRPr="00380520">
        <w:t>represent</w:t>
      </w:r>
      <w:r w:rsidR="00517171" w:rsidRPr="00380520">
        <w:t xml:space="preserve"> </w:t>
      </w:r>
      <w:r w:rsidR="000F38DE" w:rsidRPr="00380520">
        <w:t xml:space="preserve">typical </w:t>
      </w:r>
      <w:r w:rsidR="00517171" w:rsidRPr="00380520">
        <w:t xml:space="preserve">durations for the Company to complete the listed </w:t>
      </w:r>
      <w:r w:rsidRPr="00380520">
        <w:t xml:space="preserve">critical </w:t>
      </w:r>
      <w:r w:rsidR="00517171" w:rsidRPr="00380520">
        <w:t xml:space="preserve">milestones </w:t>
      </w:r>
      <w:r w:rsidR="00AE65FE" w:rsidRPr="00380520">
        <w:t>that assist in</w:t>
      </w:r>
      <w:r w:rsidR="00517171" w:rsidRPr="00380520">
        <w:t xml:space="preserve"> mov</w:t>
      </w:r>
      <w:r w:rsidR="00AE65FE" w:rsidRPr="00380520">
        <w:t>ing</w:t>
      </w:r>
      <w:r w:rsidR="00517171" w:rsidRPr="00380520">
        <w:t xml:space="preserve"> the project through the IRS, Engineering, Procurement, and Construction phases.</w:t>
      </w:r>
      <w:r w:rsidR="0024308C" w:rsidRPr="00380520">
        <w:t xml:space="preserve"> The durations below do not include time for </w:t>
      </w:r>
      <w:r w:rsidR="001A3DEF" w:rsidRPr="00380520">
        <w:t>Proposer</w:t>
      </w:r>
      <w:r w:rsidR="0024308C" w:rsidRPr="00380520">
        <w:t xml:space="preserve"> to complete items they are responsible for.</w:t>
      </w:r>
      <w:r w:rsidR="00517171" w:rsidRPr="00380520">
        <w:t xml:space="preserve"> These high-level typical durations are for planning purposes only and is not intended to cover all project specific requirements.  Specific project details can increase or </w:t>
      </w:r>
      <w:r w:rsidR="00517171" w:rsidRPr="00380520">
        <w:lastRenderedPageBreak/>
        <w:t xml:space="preserve">decrease these durations.  The detailed project schedule will be determined </w:t>
      </w:r>
      <w:r w:rsidR="0024308C" w:rsidRPr="00380520">
        <w:t>after the IRS is completed.</w:t>
      </w:r>
      <w:bookmarkEnd w:id="19"/>
      <w:bookmarkEnd w:id="20"/>
      <w:r w:rsidR="00F43624">
        <w:t xml:space="preserve"> </w:t>
      </w:r>
      <w:bookmarkStart w:id="21" w:name="_Hlk81896826"/>
    </w:p>
    <w:p w14:paraId="04805EC5" w14:textId="77777777" w:rsidR="00F43624" w:rsidRDefault="00F43624" w:rsidP="00F43624">
      <w:pPr>
        <w:pStyle w:val="NoSpacing"/>
      </w:pPr>
    </w:p>
    <w:tbl>
      <w:tblPr>
        <w:tblStyle w:val="TableGrid"/>
        <w:tblW w:w="0" w:type="auto"/>
        <w:tblLook w:val="04A0" w:firstRow="1" w:lastRow="0" w:firstColumn="1" w:lastColumn="0" w:noHBand="0" w:noVBand="1"/>
      </w:tblPr>
      <w:tblGrid>
        <w:gridCol w:w="2695"/>
        <w:gridCol w:w="2610"/>
        <w:gridCol w:w="3960"/>
      </w:tblGrid>
      <w:tr w:rsidR="00E44403" w:rsidRPr="00420C11" w14:paraId="22B549DB" w14:textId="77777777" w:rsidTr="001B6850">
        <w:trPr>
          <w:cantSplit/>
          <w:tblHeader/>
        </w:trPr>
        <w:tc>
          <w:tcPr>
            <w:tcW w:w="2695" w:type="dxa"/>
            <w:shd w:val="clear" w:color="auto" w:fill="D9D9D9" w:themeFill="background1" w:themeFillShade="D9"/>
            <w:vAlign w:val="center"/>
          </w:tcPr>
          <w:p w14:paraId="62AD4FED" w14:textId="77777777" w:rsidR="00E44403" w:rsidRPr="00420C11" w:rsidRDefault="00E44403" w:rsidP="003B6DF6">
            <w:pPr>
              <w:pStyle w:val="NoSpacing"/>
              <w:jc w:val="center"/>
              <w:rPr>
                <w:b/>
                <w:bCs/>
                <w:sz w:val="22"/>
                <w:szCs w:val="22"/>
              </w:rPr>
            </w:pPr>
            <w:r w:rsidRPr="00420C11">
              <w:rPr>
                <w:b/>
                <w:bCs/>
                <w:sz w:val="22"/>
                <w:szCs w:val="22"/>
              </w:rPr>
              <w:t>Milestone</w:t>
            </w:r>
          </w:p>
        </w:tc>
        <w:tc>
          <w:tcPr>
            <w:tcW w:w="2610" w:type="dxa"/>
            <w:shd w:val="clear" w:color="auto" w:fill="D9D9D9" w:themeFill="background1" w:themeFillShade="D9"/>
            <w:vAlign w:val="center"/>
          </w:tcPr>
          <w:p w14:paraId="2DE0204C" w14:textId="77777777" w:rsidR="00E44403" w:rsidRPr="00420C11" w:rsidRDefault="00E44403" w:rsidP="003B6DF6">
            <w:pPr>
              <w:pStyle w:val="NoSpacing"/>
              <w:jc w:val="center"/>
              <w:rPr>
                <w:b/>
                <w:bCs/>
                <w:sz w:val="22"/>
                <w:szCs w:val="22"/>
              </w:rPr>
            </w:pPr>
            <w:r>
              <w:rPr>
                <w:b/>
                <w:bCs/>
                <w:sz w:val="22"/>
                <w:szCs w:val="22"/>
              </w:rPr>
              <w:t xml:space="preserve">Company-Build </w:t>
            </w:r>
            <w:r w:rsidRPr="00420C11">
              <w:rPr>
                <w:b/>
                <w:bCs/>
                <w:sz w:val="22"/>
                <w:szCs w:val="22"/>
              </w:rPr>
              <w:t>Duration</w:t>
            </w:r>
          </w:p>
        </w:tc>
        <w:tc>
          <w:tcPr>
            <w:tcW w:w="3960" w:type="dxa"/>
            <w:shd w:val="clear" w:color="auto" w:fill="D9D9D9" w:themeFill="background1" w:themeFillShade="D9"/>
            <w:vAlign w:val="center"/>
          </w:tcPr>
          <w:p w14:paraId="68B5D4E5" w14:textId="77777777" w:rsidR="00E44403" w:rsidRPr="00420C11" w:rsidRDefault="00E44403" w:rsidP="003B6DF6">
            <w:pPr>
              <w:pStyle w:val="NoSpacing"/>
              <w:jc w:val="center"/>
              <w:rPr>
                <w:b/>
                <w:bCs/>
                <w:sz w:val="22"/>
                <w:szCs w:val="22"/>
              </w:rPr>
            </w:pPr>
            <w:r w:rsidRPr="00420C11">
              <w:rPr>
                <w:b/>
                <w:bCs/>
                <w:sz w:val="22"/>
                <w:szCs w:val="22"/>
              </w:rPr>
              <w:t>Notes</w:t>
            </w:r>
          </w:p>
        </w:tc>
      </w:tr>
      <w:tr w:rsidR="0045005A" w:rsidRPr="00420C11" w14:paraId="4F3F7703" w14:textId="77777777" w:rsidTr="001B6850">
        <w:trPr>
          <w:cantSplit/>
        </w:trPr>
        <w:tc>
          <w:tcPr>
            <w:tcW w:w="9265" w:type="dxa"/>
            <w:gridSpan w:val="3"/>
            <w:shd w:val="clear" w:color="auto" w:fill="D9D9D9" w:themeFill="background1" w:themeFillShade="D9"/>
          </w:tcPr>
          <w:p w14:paraId="1FDF2948" w14:textId="77777777" w:rsidR="0045005A" w:rsidRPr="00420C11" w:rsidRDefault="0045005A" w:rsidP="003B6DF6">
            <w:pPr>
              <w:pStyle w:val="NoSpacing"/>
              <w:rPr>
                <w:b/>
                <w:bCs/>
                <w:sz w:val="22"/>
                <w:szCs w:val="22"/>
              </w:rPr>
            </w:pPr>
            <w:r w:rsidRPr="00420C11">
              <w:rPr>
                <w:b/>
                <w:bCs/>
                <w:sz w:val="22"/>
                <w:szCs w:val="22"/>
              </w:rPr>
              <w:t>IRS Phase</w:t>
            </w:r>
          </w:p>
        </w:tc>
      </w:tr>
      <w:tr w:rsidR="00E44403" w:rsidRPr="00420C11" w14:paraId="603C5388" w14:textId="77777777" w:rsidTr="001B6850">
        <w:trPr>
          <w:cantSplit/>
        </w:trPr>
        <w:tc>
          <w:tcPr>
            <w:tcW w:w="2695" w:type="dxa"/>
            <w:shd w:val="clear" w:color="auto" w:fill="auto"/>
            <w:vAlign w:val="center"/>
          </w:tcPr>
          <w:p w14:paraId="50C58F59" w14:textId="77777777" w:rsidR="00E44403" w:rsidRPr="00420C11" w:rsidRDefault="00E44403" w:rsidP="003B6DF6">
            <w:pPr>
              <w:pStyle w:val="NoSpacing"/>
              <w:rPr>
                <w:sz w:val="22"/>
                <w:szCs w:val="22"/>
              </w:rPr>
            </w:pPr>
            <w:r w:rsidRPr="00420C11">
              <w:rPr>
                <w:sz w:val="22"/>
                <w:szCs w:val="22"/>
              </w:rPr>
              <w:t>Model Validation</w:t>
            </w:r>
          </w:p>
        </w:tc>
        <w:tc>
          <w:tcPr>
            <w:tcW w:w="2610" w:type="dxa"/>
            <w:vAlign w:val="center"/>
          </w:tcPr>
          <w:p w14:paraId="46191A54" w14:textId="77777777" w:rsidR="00E44403" w:rsidRPr="00420C11" w:rsidRDefault="00E44403" w:rsidP="003B6DF6">
            <w:pPr>
              <w:pStyle w:val="NoSpacing"/>
              <w:jc w:val="center"/>
              <w:rPr>
                <w:sz w:val="22"/>
                <w:szCs w:val="22"/>
              </w:rPr>
            </w:pPr>
            <w:r w:rsidRPr="00420C11">
              <w:rPr>
                <w:sz w:val="22"/>
                <w:szCs w:val="22"/>
              </w:rPr>
              <w:t>2-3 months</w:t>
            </w:r>
          </w:p>
        </w:tc>
        <w:tc>
          <w:tcPr>
            <w:tcW w:w="3960" w:type="dxa"/>
            <w:vAlign w:val="center"/>
          </w:tcPr>
          <w:p w14:paraId="33E7D753" w14:textId="77777777" w:rsidR="00E44403" w:rsidRPr="00420C11" w:rsidRDefault="00E44403" w:rsidP="003B6DF6">
            <w:pPr>
              <w:pStyle w:val="NoSpacing"/>
              <w:rPr>
                <w:sz w:val="22"/>
                <w:szCs w:val="22"/>
              </w:rPr>
            </w:pPr>
            <w:r w:rsidRPr="00420C11">
              <w:rPr>
                <w:sz w:val="22"/>
                <w:szCs w:val="22"/>
              </w:rPr>
              <w:t>May increase depending on # of iterations</w:t>
            </w:r>
          </w:p>
        </w:tc>
      </w:tr>
      <w:tr w:rsidR="00E44403" w:rsidRPr="00420C11" w14:paraId="0D03F6D4" w14:textId="77777777" w:rsidTr="001B6850">
        <w:trPr>
          <w:cantSplit/>
        </w:trPr>
        <w:tc>
          <w:tcPr>
            <w:tcW w:w="2695" w:type="dxa"/>
            <w:shd w:val="clear" w:color="auto" w:fill="auto"/>
            <w:vAlign w:val="center"/>
          </w:tcPr>
          <w:p w14:paraId="055D7415" w14:textId="77777777" w:rsidR="00E44403" w:rsidRPr="00420C11" w:rsidRDefault="00E44403" w:rsidP="003B6DF6">
            <w:pPr>
              <w:pStyle w:val="NoSpacing"/>
              <w:rPr>
                <w:sz w:val="22"/>
                <w:szCs w:val="22"/>
              </w:rPr>
            </w:pPr>
            <w:r w:rsidRPr="00420C11">
              <w:rPr>
                <w:sz w:val="22"/>
                <w:szCs w:val="22"/>
              </w:rPr>
              <w:t>System Impact Study (SIS)</w:t>
            </w:r>
          </w:p>
        </w:tc>
        <w:tc>
          <w:tcPr>
            <w:tcW w:w="2610" w:type="dxa"/>
            <w:vAlign w:val="center"/>
          </w:tcPr>
          <w:p w14:paraId="6D3AFDC7" w14:textId="77777777" w:rsidR="00E44403" w:rsidRPr="00420C11" w:rsidRDefault="00E44403" w:rsidP="003B6DF6">
            <w:pPr>
              <w:pStyle w:val="NoSpacing"/>
              <w:jc w:val="center"/>
              <w:rPr>
                <w:sz w:val="22"/>
                <w:szCs w:val="22"/>
              </w:rPr>
            </w:pPr>
            <w:r w:rsidRPr="00420C11">
              <w:rPr>
                <w:sz w:val="22"/>
                <w:szCs w:val="22"/>
              </w:rPr>
              <w:t>150 calendar days</w:t>
            </w:r>
          </w:p>
        </w:tc>
        <w:tc>
          <w:tcPr>
            <w:tcW w:w="3960" w:type="dxa"/>
            <w:vAlign w:val="center"/>
          </w:tcPr>
          <w:p w14:paraId="64A0EF29" w14:textId="77777777" w:rsidR="00E44403" w:rsidRPr="00420C11" w:rsidRDefault="00E44403" w:rsidP="003B6DF6">
            <w:pPr>
              <w:pStyle w:val="NoSpacing"/>
              <w:rPr>
                <w:sz w:val="22"/>
                <w:szCs w:val="22"/>
              </w:rPr>
            </w:pPr>
            <w:r w:rsidRPr="00420C11">
              <w:rPr>
                <w:sz w:val="22"/>
                <w:szCs w:val="22"/>
              </w:rPr>
              <w:t>Following Model Acceptance</w:t>
            </w:r>
          </w:p>
        </w:tc>
      </w:tr>
      <w:tr w:rsidR="0045005A" w:rsidRPr="00420C11" w14:paraId="3648C2C4" w14:textId="77777777" w:rsidTr="001B6850">
        <w:trPr>
          <w:cantSplit/>
        </w:trPr>
        <w:tc>
          <w:tcPr>
            <w:tcW w:w="9265" w:type="dxa"/>
            <w:gridSpan w:val="3"/>
            <w:shd w:val="clear" w:color="auto" w:fill="D9D9D9" w:themeFill="background1" w:themeFillShade="D9"/>
            <w:vAlign w:val="center"/>
          </w:tcPr>
          <w:p w14:paraId="4F66D010" w14:textId="77777777" w:rsidR="0045005A" w:rsidRPr="00420C11" w:rsidRDefault="0045005A" w:rsidP="003B6DF6">
            <w:pPr>
              <w:pStyle w:val="NoSpacing"/>
              <w:rPr>
                <w:sz w:val="22"/>
                <w:szCs w:val="22"/>
              </w:rPr>
            </w:pPr>
            <w:r w:rsidRPr="00420C11">
              <w:rPr>
                <w:b/>
                <w:bCs/>
                <w:sz w:val="22"/>
                <w:szCs w:val="22"/>
              </w:rPr>
              <w:t>Engineering Phase</w:t>
            </w:r>
          </w:p>
        </w:tc>
      </w:tr>
      <w:tr w:rsidR="00E44403" w:rsidRPr="00420C11" w14:paraId="7D0FE2B3" w14:textId="77777777" w:rsidTr="001B6850">
        <w:trPr>
          <w:cantSplit/>
        </w:trPr>
        <w:tc>
          <w:tcPr>
            <w:tcW w:w="2695" w:type="dxa"/>
            <w:shd w:val="clear" w:color="auto" w:fill="auto"/>
            <w:vAlign w:val="center"/>
          </w:tcPr>
          <w:p w14:paraId="2064A196" w14:textId="77777777" w:rsidR="00E44403" w:rsidRPr="00420C11" w:rsidRDefault="00E44403" w:rsidP="003B6DF6">
            <w:pPr>
              <w:pStyle w:val="NoSpacing"/>
              <w:rPr>
                <w:sz w:val="22"/>
                <w:szCs w:val="22"/>
              </w:rPr>
            </w:pPr>
            <w:r w:rsidRPr="00420C11">
              <w:rPr>
                <w:sz w:val="22"/>
                <w:szCs w:val="22"/>
              </w:rPr>
              <w:t>30% Design &amp; Review</w:t>
            </w:r>
          </w:p>
        </w:tc>
        <w:tc>
          <w:tcPr>
            <w:tcW w:w="2610" w:type="dxa"/>
            <w:vAlign w:val="center"/>
          </w:tcPr>
          <w:p w14:paraId="4F97BCCD" w14:textId="77777777" w:rsidR="00E44403" w:rsidRPr="00420C11" w:rsidRDefault="00E44403" w:rsidP="003B6DF6">
            <w:pPr>
              <w:pStyle w:val="NoSpacing"/>
              <w:jc w:val="center"/>
              <w:rPr>
                <w:sz w:val="22"/>
                <w:szCs w:val="22"/>
              </w:rPr>
            </w:pPr>
            <w:r w:rsidRPr="00420C11">
              <w:rPr>
                <w:sz w:val="22"/>
                <w:szCs w:val="22"/>
              </w:rPr>
              <w:t>40 business days</w:t>
            </w:r>
          </w:p>
        </w:tc>
        <w:tc>
          <w:tcPr>
            <w:tcW w:w="3960" w:type="dxa"/>
            <w:vAlign w:val="center"/>
          </w:tcPr>
          <w:p w14:paraId="39A15392" w14:textId="77777777" w:rsidR="00E44403" w:rsidRPr="00420C11" w:rsidRDefault="00E44403" w:rsidP="003B6DF6">
            <w:pPr>
              <w:pStyle w:val="NoSpacing"/>
              <w:rPr>
                <w:sz w:val="22"/>
                <w:szCs w:val="22"/>
              </w:rPr>
            </w:pPr>
          </w:p>
        </w:tc>
      </w:tr>
      <w:tr w:rsidR="00E44403" w:rsidRPr="00420C11" w14:paraId="16907E7B" w14:textId="77777777" w:rsidTr="001B6850">
        <w:trPr>
          <w:cantSplit/>
        </w:trPr>
        <w:tc>
          <w:tcPr>
            <w:tcW w:w="2695" w:type="dxa"/>
            <w:shd w:val="clear" w:color="auto" w:fill="auto"/>
            <w:vAlign w:val="center"/>
          </w:tcPr>
          <w:p w14:paraId="6578E4FC" w14:textId="77777777" w:rsidR="00E44403" w:rsidRPr="00420C11" w:rsidRDefault="00E44403" w:rsidP="003B6DF6">
            <w:pPr>
              <w:pStyle w:val="NoSpacing"/>
              <w:rPr>
                <w:sz w:val="22"/>
                <w:szCs w:val="22"/>
              </w:rPr>
            </w:pPr>
            <w:r w:rsidRPr="00420C11">
              <w:rPr>
                <w:sz w:val="22"/>
                <w:szCs w:val="22"/>
              </w:rPr>
              <w:t>60% Design &amp; Review</w:t>
            </w:r>
          </w:p>
        </w:tc>
        <w:tc>
          <w:tcPr>
            <w:tcW w:w="2610" w:type="dxa"/>
            <w:vAlign w:val="center"/>
          </w:tcPr>
          <w:p w14:paraId="69F59067" w14:textId="77777777" w:rsidR="00E44403" w:rsidRPr="00420C11" w:rsidRDefault="00E44403" w:rsidP="003B6DF6">
            <w:pPr>
              <w:pStyle w:val="NoSpacing"/>
              <w:jc w:val="center"/>
              <w:rPr>
                <w:sz w:val="22"/>
                <w:szCs w:val="22"/>
              </w:rPr>
            </w:pPr>
            <w:r w:rsidRPr="00420C11">
              <w:rPr>
                <w:sz w:val="22"/>
                <w:szCs w:val="22"/>
              </w:rPr>
              <w:t>50 business days</w:t>
            </w:r>
          </w:p>
        </w:tc>
        <w:tc>
          <w:tcPr>
            <w:tcW w:w="3960" w:type="dxa"/>
            <w:vAlign w:val="center"/>
          </w:tcPr>
          <w:p w14:paraId="19FCE957" w14:textId="77777777" w:rsidR="00E44403" w:rsidRPr="00420C11" w:rsidRDefault="00E44403" w:rsidP="003B6DF6">
            <w:pPr>
              <w:pStyle w:val="NoSpacing"/>
              <w:rPr>
                <w:sz w:val="22"/>
                <w:szCs w:val="22"/>
              </w:rPr>
            </w:pPr>
            <w:r w:rsidRPr="00420C11">
              <w:rPr>
                <w:sz w:val="22"/>
                <w:szCs w:val="22"/>
              </w:rPr>
              <w:t>Following 30% Design acceptance.</w:t>
            </w:r>
          </w:p>
        </w:tc>
      </w:tr>
      <w:tr w:rsidR="00E44403" w:rsidRPr="00420C11" w14:paraId="77BC1BDB" w14:textId="77777777" w:rsidTr="001B6850">
        <w:trPr>
          <w:cantSplit/>
        </w:trPr>
        <w:tc>
          <w:tcPr>
            <w:tcW w:w="2695" w:type="dxa"/>
            <w:shd w:val="clear" w:color="auto" w:fill="auto"/>
            <w:vAlign w:val="center"/>
          </w:tcPr>
          <w:p w14:paraId="40510049" w14:textId="77777777" w:rsidR="00E44403" w:rsidRPr="00420C11" w:rsidRDefault="00E44403" w:rsidP="003B6DF6">
            <w:pPr>
              <w:pStyle w:val="NoSpacing"/>
              <w:rPr>
                <w:sz w:val="22"/>
                <w:szCs w:val="22"/>
              </w:rPr>
            </w:pPr>
            <w:r w:rsidRPr="00420C11">
              <w:rPr>
                <w:sz w:val="22"/>
                <w:szCs w:val="22"/>
              </w:rPr>
              <w:t>90% Design &amp; Review</w:t>
            </w:r>
          </w:p>
        </w:tc>
        <w:tc>
          <w:tcPr>
            <w:tcW w:w="2610" w:type="dxa"/>
            <w:vAlign w:val="center"/>
          </w:tcPr>
          <w:p w14:paraId="7E84D4EC" w14:textId="77777777" w:rsidR="00E44403" w:rsidRPr="00420C11" w:rsidRDefault="00E44403" w:rsidP="003B6DF6">
            <w:pPr>
              <w:pStyle w:val="NoSpacing"/>
              <w:jc w:val="center"/>
              <w:rPr>
                <w:sz w:val="22"/>
                <w:szCs w:val="22"/>
              </w:rPr>
            </w:pPr>
            <w:r w:rsidRPr="00420C11">
              <w:rPr>
                <w:sz w:val="22"/>
                <w:szCs w:val="22"/>
              </w:rPr>
              <w:t>50 business days</w:t>
            </w:r>
          </w:p>
        </w:tc>
        <w:tc>
          <w:tcPr>
            <w:tcW w:w="3960" w:type="dxa"/>
            <w:vAlign w:val="center"/>
          </w:tcPr>
          <w:p w14:paraId="38E9ADC4" w14:textId="77777777" w:rsidR="00E44403" w:rsidRPr="00420C11" w:rsidRDefault="00E44403" w:rsidP="003B6DF6">
            <w:pPr>
              <w:pStyle w:val="NoSpacing"/>
              <w:rPr>
                <w:sz w:val="22"/>
                <w:szCs w:val="22"/>
              </w:rPr>
            </w:pPr>
            <w:r w:rsidRPr="00420C11">
              <w:rPr>
                <w:sz w:val="22"/>
                <w:szCs w:val="22"/>
              </w:rPr>
              <w:t>Following 60% Design acceptance</w:t>
            </w:r>
          </w:p>
        </w:tc>
      </w:tr>
      <w:tr w:rsidR="00E44403" w:rsidRPr="00420C11" w14:paraId="71D34A22" w14:textId="77777777" w:rsidTr="001B6850">
        <w:trPr>
          <w:cantSplit/>
        </w:trPr>
        <w:tc>
          <w:tcPr>
            <w:tcW w:w="2695" w:type="dxa"/>
            <w:shd w:val="clear" w:color="auto" w:fill="auto"/>
            <w:vAlign w:val="center"/>
          </w:tcPr>
          <w:p w14:paraId="068590BB" w14:textId="77777777" w:rsidR="00E44403" w:rsidRPr="00420C11" w:rsidRDefault="00E44403" w:rsidP="003B6DF6">
            <w:pPr>
              <w:pStyle w:val="NoSpacing"/>
              <w:rPr>
                <w:sz w:val="22"/>
                <w:szCs w:val="22"/>
              </w:rPr>
            </w:pPr>
            <w:r w:rsidRPr="00420C11">
              <w:rPr>
                <w:sz w:val="22"/>
                <w:szCs w:val="22"/>
              </w:rPr>
              <w:t>Issued for Construction (IFC) Design &amp; Review</w:t>
            </w:r>
          </w:p>
        </w:tc>
        <w:tc>
          <w:tcPr>
            <w:tcW w:w="2610" w:type="dxa"/>
            <w:vAlign w:val="center"/>
          </w:tcPr>
          <w:p w14:paraId="4D0E0643" w14:textId="77777777" w:rsidR="00E44403" w:rsidRPr="00420C11" w:rsidRDefault="00E44403" w:rsidP="003B6DF6">
            <w:pPr>
              <w:pStyle w:val="NoSpacing"/>
              <w:jc w:val="center"/>
              <w:rPr>
                <w:sz w:val="22"/>
                <w:szCs w:val="22"/>
              </w:rPr>
            </w:pPr>
            <w:r w:rsidRPr="00420C11">
              <w:rPr>
                <w:sz w:val="22"/>
                <w:szCs w:val="22"/>
              </w:rPr>
              <w:t>30 business days</w:t>
            </w:r>
          </w:p>
        </w:tc>
        <w:tc>
          <w:tcPr>
            <w:tcW w:w="3960" w:type="dxa"/>
            <w:vAlign w:val="center"/>
          </w:tcPr>
          <w:p w14:paraId="2D9615E9" w14:textId="77777777" w:rsidR="00E44403" w:rsidRPr="00420C11" w:rsidRDefault="00E44403" w:rsidP="003B6DF6">
            <w:pPr>
              <w:pStyle w:val="NoSpacing"/>
              <w:rPr>
                <w:sz w:val="22"/>
                <w:szCs w:val="22"/>
              </w:rPr>
            </w:pPr>
            <w:r w:rsidRPr="00420C11">
              <w:rPr>
                <w:sz w:val="22"/>
                <w:szCs w:val="22"/>
              </w:rPr>
              <w:t>Following 90% Design acceptance.</w:t>
            </w:r>
          </w:p>
        </w:tc>
      </w:tr>
      <w:tr w:rsidR="0045005A" w:rsidRPr="00420C11" w14:paraId="2FDACD38" w14:textId="77777777" w:rsidTr="001B6850">
        <w:trPr>
          <w:cantSplit/>
        </w:trPr>
        <w:tc>
          <w:tcPr>
            <w:tcW w:w="9265" w:type="dxa"/>
            <w:gridSpan w:val="3"/>
            <w:shd w:val="clear" w:color="auto" w:fill="D9D9D9" w:themeFill="background1" w:themeFillShade="D9"/>
            <w:vAlign w:val="center"/>
          </w:tcPr>
          <w:p w14:paraId="51CFE6EC" w14:textId="77777777" w:rsidR="0045005A" w:rsidRPr="00420C11" w:rsidRDefault="0045005A" w:rsidP="003B6DF6">
            <w:pPr>
              <w:pStyle w:val="NoSpacing"/>
              <w:rPr>
                <w:sz w:val="22"/>
                <w:szCs w:val="22"/>
              </w:rPr>
            </w:pPr>
            <w:r w:rsidRPr="00420C11">
              <w:rPr>
                <w:b/>
                <w:bCs/>
                <w:sz w:val="22"/>
                <w:szCs w:val="22"/>
              </w:rPr>
              <w:t>Procurement Phase</w:t>
            </w:r>
          </w:p>
        </w:tc>
      </w:tr>
      <w:tr w:rsidR="00E44403" w:rsidRPr="00420C11" w14:paraId="37EBE471" w14:textId="77777777" w:rsidTr="001B6850">
        <w:trPr>
          <w:cantSplit/>
          <w:trHeight w:val="575"/>
        </w:trPr>
        <w:tc>
          <w:tcPr>
            <w:tcW w:w="2695" w:type="dxa"/>
            <w:shd w:val="clear" w:color="auto" w:fill="auto"/>
            <w:vAlign w:val="center"/>
          </w:tcPr>
          <w:p w14:paraId="77FF9CE1" w14:textId="77777777" w:rsidR="00E44403" w:rsidRPr="00420C11" w:rsidRDefault="00E44403" w:rsidP="003B6DF6">
            <w:pPr>
              <w:pStyle w:val="NoSpacing"/>
              <w:rPr>
                <w:sz w:val="22"/>
                <w:szCs w:val="22"/>
              </w:rPr>
            </w:pPr>
            <w:r w:rsidRPr="00420C11">
              <w:rPr>
                <w:sz w:val="22"/>
                <w:szCs w:val="22"/>
              </w:rPr>
              <w:t>Procurement</w:t>
            </w:r>
          </w:p>
        </w:tc>
        <w:tc>
          <w:tcPr>
            <w:tcW w:w="2610" w:type="dxa"/>
            <w:vAlign w:val="center"/>
          </w:tcPr>
          <w:p w14:paraId="24326524" w14:textId="77777777" w:rsidR="00E44403" w:rsidRPr="00420C11" w:rsidRDefault="00E44403" w:rsidP="003B6DF6">
            <w:pPr>
              <w:pStyle w:val="NoSpacing"/>
              <w:jc w:val="center"/>
              <w:rPr>
                <w:sz w:val="22"/>
                <w:szCs w:val="22"/>
              </w:rPr>
            </w:pPr>
            <w:r w:rsidRPr="00420C11">
              <w:rPr>
                <w:sz w:val="22"/>
                <w:szCs w:val="22"/>
              </w:rPr>
              <w:t>9 months</w:t>
            </w:r>
          </w:p>
        </w:tc>
        <w:tc>
          <w:tcPr>
            <w:tcW w:w="3960" w:type="dxa"/>
            <w:vAlign w:val="center"/>
          </w:tcPr>
          <w:p w14:paraId="1F667038" w14:textId="77777777" w:rsidR="00E44403" w:rsidRPr="00420C11" w:rsidRDefault="00E44403" w:rsidP="003B6DF6">
            <w:pPr>
              <w:pStyle w:val="NoSpacing"/>
              <w:rPr>
                <w:sz w:val="22"/>
                <w:szCs w:val="22"/>
              </w:rPr>
            </w:pPr>
            <w:r w:rsidRPr="00420C11">
              <w:rPr>
                <w:sz w:val="22"/>
                <w:szCs w:val="22"/>
              </w:rPr>
              <w:t>Procurement of materials typically happens at 60% design completion</w:t>
            </w:r>
          </w:p>
        </w:tc>
      </w:tr>
      <w:tr w:rsidR="0045005A" w:rsidRPr="00420C11" w14:paraId="0D3A7CFE" w14:textId="77777777" w:rsidTr="001B6850">
        <w:trPr>
          <w:cantSplit/>
          <w:trHeight w:val="70"/>
        </w:trPr>
        <w:tc>
          <w:tcPr>
            <w:tcW w:w="9265" w:type="dxa"/>
            <w:gridSpan w:val="3"/>
            <w:shd w:val="clear" w:color="auto" w:fill="D9D9D9" w:themeFill="background1" w:themeFillShade="D9"/>
            <w:vAlign w:val="center"/>
          </w:tcPr>
          <w:p w14:paraId="6FA7A38E" w14:textId="77777777" w:rsidR="0045005A" w:rsidRPr="00420C11" w:rsidRDefault="0045005A" w:rsidP="003B6DF6">
            <w:pPr>
              <w:pStyle w:val="NoSpacing"/>
              <w:rPr>
                <w:sz w:val="22"/>
                <w:szCs w:val="22"/>
              </w:rPr>
            </w:pPr>
            <w:r w:rsidRPr="00420C11">
              <w:rPr>
                <w:b/>
                <w:bCs/>
                <w:sz w:val="22"/>
                <w:szCs w:val="22"/>
              </w:rPr>
              <w:t>Construction Phase</w:t>
            </w:r>
          </w:p>
        </w:tc>
      </w:tr>
      <w:tr w:rsidR="00E44403" w:rsidRPr="00420C11" w14:paraId="45F63FA0" w14:textId="77777777" w:rsidTr="001B6850">
        <w:trPr>
          <w:cantSplit/>
        </w:trPr>
        <w:tc>
          <w:tcPr>
            <w:tcW w:w="2695" w:type="dxa"/>
            <w:shd w:val="clear" w:color="auto" w:fill="auto"/>
            <w:vAlign w:val="center"/>
          </w:tcPr>
          <w:p w14:paraId="17D9E03C" w14:textId="77777777" w:rsidR="00E44403" w:rsidRPr="00420C11" w:rsidRDefault="00E44403" w:rsidP="003B6DF6">
            <w:pPr>
              <w:pStyle w:val="NoSpacing"/>
              <w:rPr>
                <w:sz w:val="22"/>
                <w:szCs w:val="22"/>
              </w:rPr>
            </w:pPr>
            <w:r w:rsidRPr="00420C11">
              <w:rPr>
                <w:sz w:val="22"/>
                <w:szCs w:val="22"/>
              </w:rPr>
              <w:t>Construction</w:t>
            </w:r>
          </w:p>
        </w:tc>
        <w:tc>
          <w:tcPr>
            <w:tcW w:w="2610" w:type="dxa"/>
            <w:vAlign w:val="center"/>
          </w:tcPr>
          <w:p w14:paraId="1C7C2DF9" w14:textId="77777777" w:rsidR="00E44403" w:rsidRPr="00420C11" w:rsidRDefault="00E44403" w:rsidP="003B6DF6">
            <w:pPr>
              <w:pStyle w:val="NoSpacing"/>
              <w:jc w:val="center"/>
              <w:rPr>
                <w:sz w:val="22"/>
                <w:szCs w:val="22"/>
              </w:rPr>
            </w:pPr>
            <w:r>
              <w:rPr>
                <w:sz w:val="22"/>
                <w:szCs w:val="22"/>
              </w:rPr>
              <w:t>10-12</w:t>
            </w:r>
            <w:r w:rsidRPr="00420C11">
              <w:rPr>
                <w:sz w:val="22"/>
                <w:szCs w:val="22"/>
              </w:rPr>
              <w:t xml:space="preserve"> months</w:t>
            </w:r>
          </w:p>
        </w:tc>
        <w:tc>
          <w:tcPr>
            <w:tcW w:w="3960" w:type="dxa"/>
            <w:vAlign w:val="center"/>
          </w:tcPr>
          <w:p w14:paraId="089136F6" w14:textId="77777777" w:rsidR="00E44403" w:rsidRPr="00420C11" w:rsidRDefault="00E44403" w:rsidP="003B6DF6">
            <w:pPr>
              <w:pStyle w:val="NoSpacing"/>
              <w:rPr>
                <w:sz w:val="22"/>
                <w:szCs w:val="22"/>
              </w:rPr>
            </w:pPr>
            <w:r w:rsidRPr="00420C11">
              <w:rPr>
                <w:sz w:val="22"/>
                <w:szCs w:val="22"/>
              </w:rPr>
              <w:t>Based on scope/complexity of work</w:t>
            </w:r>
          </w:p>
        </w:tc>
      </w:tr>
      <w:tr w:rsidR="00E44403" w:rsidRPr="00420C11" w14:paraId="74F67E03" w14:textId="77777777" w:rsidTr="001B6850">
        <w:trPr>
          <w:cantSplit/>
        </w:trPr>
        <w:tc>
          <w:tcPr>
            <w:tcW w:w="2695" w:type="dxa"/>
            <w:shd w:val="clear" w:color="auto" w:fill="auto"/>
            <w:vAlign w:val="center"/>
          </w:tcPr>
          <w:p w14:paraId="12F3C92D" w14:textId="77777777" w:rsidR="00E44403" w:rsidRPr="00420C11" w:rsidRDefault="00E44403" w:rsidP="003B6DF6">
            <w:pPr>
              <w:pStyle w:val="NoSpacing"/>
              <w:rPr>
                <w:sz w:val="22"/>
                <w:szCs w:val="22"/>
              </w:rPr>
            </w:pPr>
            <w:r w:rsidRPr="00420C11">
              <w:rPr>
                <w:sz w:val="22"/>
                <w:szCs w:val="22"/>
              </w:rPr>
              <w:t>Acceptance Testing</w:t>
            </w:r>
          </w:p>
        </w:tc>
        <w:tc>
          <w:tcPr>
            <w:tcW w:w="2610" w:type="dxa"/>
            <w:vAlign w:val="center"/>
          </w:tcPr>
          <w:p w14:paraId="2D7973FA" w14:textId="77777777" w:rsidR="00E44403" w:rsidRPr="00420C11" w:rsidRDefault="00E44403" w:rsidP="003B6DF6">
            <w:pPr>
              <w:pStyle w:val="NoSpacing"/>
              <w:jc w:val="center"/>
              <w:rPr>
                <w:sz w:val="22"/>
                <w:szCs w:val="22"/>
              </w:rPr>
            </w:pPr>
            <w:r>
              <w:rPr>
                <w:sz w:val="22"/>
                <w:szCs w:val="22"/>
              </w:rPr>
              <w:t>3</w:t>
            </w:r>
            <w:r w:rsidRPr="00420C11">
              <w:rPr>
                <w:sz w:val="22"/>
                <w:szCs w:val="22"/>
              </w:rPr>
              <w:t>0 business days</w:t>
            </w:r>
          </w:p>
        </w:tc>
        <w:tc>
          <w:tcPr>
            <w:tcW w:w="3960" w:type="dxa"/>
            <w:vAlign w:val="center"/>
          </w:tcPr>
          <w:p w14:paraId="1EE5E7B3" w14:textId="77777777" w:rsidR="00E44403" w:rsidRPr="00420C11" w:rsidRDefault="00E44403" w:rsidP="003B6DF6">
            <w:pPr>
              <w:pStyle w:val="NoSpacing"/>
              <w:rPr>
                <w:sz w:val="22"/>
                <w:szCs w:val="22"/>
              </w:rPr>
            </w:pPr>
            <w:r w:rsidRPr="00420C11">
              <w:rPr>
                <w:sz w:val="22"/>
                <w:szCs w:val="22"/>
              </w:rPr>
              <w:t xml:space="preserve">Approximately </w:t>
            </w:r>
            <w:r>
              <w:rPr>
                <w:sz w:val="22"/>
                <w:szCs w:val="22"/>
              </w:rPr>
              <w:t>3</w:t>
            </w:r>
            <w:r w:rsidRPr="00420C11">
              <w:rPr>
                <w:sz w:val="22"/>
                <w:szCs w:val="22"/>
              </w:rPr>
              <w:t xml:space="preserve"> weeks after construction completion</w:t>
            </w:r>
          </w:p>
        </w:tc>
      </w:tr>
      <w:tr w:rsidR="00E44403" w:rsidRPr="00420C11" w14:paraId="458DBB02" w14:textId="77777777" w:rsidTr="001B6850">
        <w:trPr>
          <w:cantSplit/>
        </w:trPr>
        <w:tc>
          <w:tcPr>
            <w:tcW w:w="2695" w:type="dxa"/>
            <w:shd w:val="clear" w:color="auto" w:fill="auto"/>
            <w:vAlign w:val="center"/>
          </w:tcPr>
          <w:p w14:paraId="2F4D3DF0" w14:textId="77777777" w:rsidR="00E44403" w:rsidRPr="00420C11" w:rsidRDefault="00E44403" w:rsidP="003B6DF6">
            <w:pPr>
              <w:pStyle w:val="NoSpacing"/>
              <w:rPr>
                <w:sz w:val="22"/>
                <w:szCs w:val="22"/>
              </w:rPr>
            </w:pPr>
            <w:r w:rsidRPr="00420C11">
              <w:rPr>
                <w:sz w:val="22"/>
                <w:szCs w:val="22"/>
              </w:rPr>
              <w:t>CSAT</w:t>
            </w:r>
          </w:p>
        </w:tc>
        <w:tc>
          <w:tcPr>
            <w:tcW w:w="2610" w:type="dxa"/>
            <w:vAlign w:val="center"/>
          </w:tcPr>
          <w:p w14:paraId="414DFBFA" w14:textId="77777777" w:rsidR="00E44403" w:rsidRPr="00420C11" w:rsidRDefault="00E44403" w:rsidP="003B6DF6">
            <w:pPr>
              <w:pStyle w:val="NoSpacing"/>
              <w:jc w:val="center"/>
              <w:rPr>
                <w:sz w:val="22"/>
                <w:szCs w:val="22"/>
              </w:rPr>
            </w:pPr>
            <w:r w:rsidRPr="00420C11">
              <w:rPr>
                <w:sz w:val="22"/>
                <w:szCs w:val="22"/>
              </w:rPr>
              <w:t>30 business days</w:t>
            </w:r>
          </w:p>
        </w:tc>
        <w:tc>
          <w:tcPr>
            <w:tcW w:w="3960" w:type="dxa"/>
            <w:vAlign w:val="center"/>
          </w:tcPr>
          <w:p w14:paraId="0F04C888" w14:textId="77777777" w:rsidR="00E44403" w:rsidRPr="00420C11" w:rsidRDefault="00E44403" w:rsidP="003B6DF6">
            <w:pPr>
              <w:pStyle w:val="NoSpacing"/>
              <w:rPr>
                <w:sz w:val="22"/>
                <w:szCs w:val="22"/>
              </w:rPr>
            </w:pPr>
            <w:r w:rsidRPr="00420C11">
              <w:rPr>
                <w:sz w:val="22"/>
                <w:szCs w:val="22"/>
              </w:rPr>
              <w:t>To occur after commissioning of Proposer's Facility. Duration depends on Proposer's ability to meet the Performance Standards.</w:t>
            </w:r>
          </w:p>
        </w:tc>
      </w:tr>
      <w:tr w:rsidR="0045005A" w:rsidRPr="00420C11" w14:paraId="284E5D0E" w14:textId="77777777" w:rsidTr="001B6850">
        <w:trPr>
          <w:cantSplit/>
        </w:trPr>
        <w:tc>
          <w:tcPr>
            <w:tcW w:w="9265" w:type="dxa"/>
            <w:gridSpan w:val="3"/>
            <w:shd w:val="clear" w:color="auto" w:fill="D9D9D9" w:themeFill="background1" w:themeFillShade="D9"/>
            <w:vAlign w:val="center"/>
          </w:tcPr>
          <w:p w14:paraId="694C1F01" w14:textId="77777777" w:rsidR="0045005A" w:rsidRPr="00420C11" w:rsidRDefault="0045005A" w:rsidP="003B6DF6">
            <w:pPr>
              <w:pStyle w:val="NoSpacing"/>
              <w:rPr>
                <w:sz w:val="22"/>
                <w:szCs w:val="22"/>
              </w:rPr>
            </w:pPr>
            <w:r w:rsidRPr="000F0C32">
              <w:rPr>
                <w:b/>
                <w:bCs/>
                <w:sz w:val="22"/>
                <w:szCs w:val="22"/>
              </w:rPr>
              <w:t>Notes</w:t>
            </w:r>
          </w:p>
        </w:tc>
      </w:tr>
      <w:tr w:rsidR="0045005A" w:rsidRPr="00420C11" w14:paraId="1A5286DF" w14:textId="77777777" w:rsidTr="001B6850">
        <w:trPr>
          <w:cantSplit/>
        </w:trPr>
        <w:tc>
          <w:tcPr>
            <w:tcW w:w="9265" w:type="dxa"/>
            <w:gridSpan w:val="3"/>
            <w:shd w:val="clear" w:color="auto" w:fill="auto"/>
            <w:vAlign w:val="center"/>
          </w:tcPr>
          <w:p w14:paraId="54855674" w14:textId="4D26994A" w:rsidR="0045005A" w:rsidRPr="00420C11" w:rsidRDefault="0045005A">
            <w:pPr>
              <w:pStyle w:val="NoSpacing"/>
              <w:rPr>
                <w:sz w:val="22"/>
                <w:szCs w:val="22"/>
              </w:rPr>
            </w:pPr>
            <w:r w:rsidRPr="00E44403">
              <w:rPr>
                <w:sz w:val="22"/>
                <w:szCs w:val="22"/>
              </w:rPr>
              <w:t>For Company-Build projects, the Engineering Phase includes Company design &amp; review of Company-Owned Interconnection Facilities (COIF) &amp; reviews of Proposer-Owned Interconnection Facilities (SOIF) supporting/impacting COIF.</w:t>
            </w:r>
          </w:p>
        </w:tc>
      </w:tr>
      <w:bookmarkEnd w:id="21"/>
    </w:tbl>
    <w:p w14:paraId="796B2A7A" w14:textId="77777777" w:rsidR="0045005A" w:rsidRPr="004A2617" w:rsidRDefault="0045005A" w:rsidP="00113B52">
      <w:pPr>
        <w:pStyle w:val="NoSpacing"/>
      </w:pPr>
    </w:p>
    <w:sectPr w:rsidR="0045005A" w:rsidRPr="004A2617" w:rsidSect="00B228FE">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6145" w14:textId="77777777" w:rsidR="00542168" w:rsidRDefault="00542168" w:rsidP="00821012">
      <w:r>
        <w:separator/>
      </w:r>
    </w:p>
  </w:endnote>
  <w:endnote w:type="continuationSeparator" w:id="0">
    <w:p w14:paraId="78837030" w14:textId="77777777" w:rsidR="00542168" w:rsidRDefault="00542168" w:rsidP="00821012">
      <w:r>
        <w:continuationSeparator/>
      </w:r>
    </w:p>
  </w:endnote>
  <w:endnote w:type="continuationNotice" w:id="1">
    <w:p w14:paraId="27511D06" w14:textId="77777777" w:rsidR="00542168" w:rsidRDefault="00542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88452"/>
      <w:docPartObj>
        <w:docPartGallery w:val="Page Numbers (Bottom of Page)"/>
        <w:docPartUnique/>
      </w:docPartObj>
    </w:sdtPr>
    <w:sdtEndPr>
      <w:rPr>
        <w:noProof/>
      </w:rPr>
    </w:sdtEndPr>
    <w:sdtContent>
      <w:p w14:paraId="073B0D3B" w14:textId="3EA913AB" w:rsidR="00676560" w:rsidRDefault="006765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7BDFE" w14:textId="77777777" w:rsidR="00676560" w:rsidRDefault="00676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5E228" w14:textId="77777777" w:rsidR="00542168" w:rsidRDefault="00542168" w:rsidP="00821012">
      <w:r>
        <w:separator/>
      </w:r>
    </w:p>
  </w:footnote>
  <w:footnote w:type="continuationSeparator" w:id="0">
    <w:p w14:paraId="7F205797" w14:textId="77777777" w:rsidR="00542168" w:rsidRDefault="00542168" w:rsidP="00821012">
      <w:r>
        <w:continuationSeparator/>
      </w:r>
    </w:p>
  </w:footnote>
  <w:footnote w:type="continuationNotice" w:id="1">
    <w:p w14:paraId="5A0D22A0" w14:textId="77777777" w:rsidR="00542168" w:rsidRDefault="00542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B138" w14:textId="4ABBDEDF" w:rsidR="00676560" w:rsidRDefault="00676560">
    <w:pPr>
      <w:pStyle w:val="Header"/>
      <w:rPr>
        <w:szCs w:val="22"/>
      </w:rPr>
    </w:pPr>
    <w:r>
      <w:rPr>
        <w:szCs w:val="22"/>
      </w:rPr>
      <w:t>Hawaiian Electric Company</w:t>
    </w:r>
  </w:p>
  <w:p w14:paraId="2461F93D" w14:textId="15F409FE" w:rsidR="00676560" w:rsidRPr="00B228FE" w:rsidRDefault="00676560">
    <w:pPr>
      <w:pStyle w:val="Header"/>
      <w:rPr>
        <w:szCs w:val="22"/>
      </w:rPr>
    </w:pPr>
    <w:r>
      <w:rPr>
        <w:szCs w:val="22"/>
        <w:lang w:val="haw-US"/>
      </w:rPr>
      <w:t xml:space="preserve">Company-Owned </w:t>
    </w:r>
    <w:r>
      <w:rPr>
        <w:szCs w:val="22"/>
      </w:rPr>
      <w:t>Interconnection Facilities Cost and Schedule Information</w:t>
    </w:r>
  </w:p>
  <w:p w14:paraId="7844B13C" w14:textId="467E85A3" w:rsidR="00676560" w:rsidRDefault="0067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AE10" w14:textId="77777777" w:rsidR="00676560" w:rsidRDefault="00676560" w:rsidP="0089348C">
    <w:pPr>
      <w:pStyle w:val="Header"/>
      <w:rPr>
        <w:szCs w:val="22"/>
      </w:rPr>
    </w:pPr>
    <w:r>
      <w:rPr>
        <w:szCs w:val="22"/>
      </w:rPr>
      <w:t>Hawaiian Electric Company</w:t>
    </w:r>
  </w:p>
  <w:p w14:paraId="1D57F310" w14:textId="67425009" w:rsidR="00676560" w:rsidRDefault="00676560" w:rsidP="0089348C">
    <w:pPr>
      <w:pStyle w:val="Header"/>
    </w:pPr>
    <w:r>
      <w:rPr>
        <w:szCs w:val="22"/>
      </w:rPr>
      <w:t>Interconnection Facilities Cost and Schedule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662E7"/>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5F11C7"/>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056469"/>
    <w:multiLevelType w:val="hybridMultilevel"/>
    <w:tmpl w:val="58DEA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F586F"/>
    <w:multiLevelType w:val="multilevel"/>
    <w:tmpl w:val="C8A857DE"/>
    <w:lvl w:ilvl="0">
      <w:start w:val="1"/>
      <w:numFmt w:val="upperLetter"/>
      <w:pStyle w:val="Heading3"/>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EA6F05"/>
    <w:multiLevelType w:val="multilevel"/>
    <w:tmpl w:val="BDF27200"/>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D06A67"/>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BF7FFE"/>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F03494"/>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DB60FA"/>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32207"/>
    <w:multiLevelType w:val="multilevel"/>
    <w:tmpl w:val="FC70FDE4"/>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756C64"/>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A31EA3"/>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FC7B09"/>
    <w:multiLevelType w:val="hybridMultilevel"/>
    <w:tmpl w:val="D36C8E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E7184D"/>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38D6675"/>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066BED"/>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E53CDD"/>
    <w:multiLevelType w:val="multilevel"/>
    <w:tmpl w:val="E4AE8DD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C120C8F"/>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EDE7013"/>
    <w:multiLevelType w:val="multilevel"/>
    <w:tmpl w:val="6A40819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6"/>
  </w:num>
  <w:num w:numId="3">
    <w:abstractNumId w:val="9"/>
  </w:num>
  <w:num w:numId="4">
    <w:abstractNumId w:val="7"/>
  </w:num>
  <w:num w:numId="5">
    <w:abstractNumId w:val="4"/>
  </w:num>
  <w:num w:numId="6">
    <w:abstractNumId w:val="11"/>
  </w:num>
  <w:num w:numId="7">
    <w:abstractNumId w:val="8"/>
  </w:num>
  <w:num w:numId="8">
    <w:abstractNumId w:val="0"/>
  </w:num>
  <w:num w:numId="9">
    <w:abstractNumId w:val="2"/>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
  </w:num>
  <w:num w:numId="15">
    <w:abstractNumId w:val="15"/>
  </w:num>
  <w:num w:numId="16">
    <w:abstractNumId w:val="14"/>
  </w:num>
  <w:num w:numId="17">
    <w:abstractNumId w:val="6"/>
  </w:num>
  <w:num w:numId="18">
    <w:abstractNumId w:val="17"/>
  </w:num>
  <w:num w:numId="19">
    <w:abstractNumId w:val="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E7"/>
    <w:rsid w:val="00002DBD"/>
    <w:rsid w:val="00005B4C"/>
    <w:rsid w:val="000063EE"/>
    <w:rsid w:val="00006876"/>
    <w:rsid w:val="00006FA8"/>
    <w:rsid w:val="00007183"/>
    <w:rsid w:val="0001107B"/>
    <w:rsid w:val="00014B4C"/>
    <w:rsid w:val="00015E6F"/>
    <w:rsid w:val="00021A04"/>
    <w:rsid w:val="00031DE6"/>
    <w:rsid w:val="00031E6A"/>
    <w:rsid w:val="00034A70"/>
    <w:rsid w:val="000356EC"/>
    <w:rsid w:val="00035B39"/>
    <w:rsid w:val="00036A1E"/>
    <w:rsid w:val="00037BB7"/>
    <w:rsid w:val="00037DB3"/>
    <w:rsid w:val="00040146"/>
    <w:rsid w:val="00046E86"/>
    <w:rsid w:val="000505D1"/>
    <w:rsid w:val="00054C95"/>
    <w:rsid w:val="00055B7C"/>
    <w:rsid w:val="00057101"/>
    <w:rsid w:val="00060C18"/>
    <w:rsid w:val="00064064"/>
    <w:rsid w:val="00064A6C"/>
    <w:rsid w:val="00064AFF"/>
    <w:rsid w:val="000662FA"/>
    <w:rsid w:val="00066ADC"/>
    <w:rsid w:val="000703B6"/>
    <w:rsid w:val="00070D9B"/>
    <w:rsid w:val="000721DF"/>
    <w:rsid w:val="00072A88"/>
    <w:rsid w:val="00073162"/>
    <w:rsid w:val="0007476A"/>
    <w:rsid w:val="00075F40"/>
    <w:rsid w:val="000818B4"/>
    <w:rsid w:val="000929B7"/>
    <w:rsid w:val="00093DC0"/>
    <w:rsid w:val="000A00CF"/>
    <w:rsid w:val="000A13C9"/>
    <w:rsid w:val="000A33E5"/>
    <w:rsid w:val="000A5547"/>
    <w:rsid w:val="000A718B"/>
    <w:rsid w:val="000B3AEF"/>
    <w:rsid w:val="000B595A"/>
    <w:rsid w:val="000B62F0"/>
    <w:rsid w:val="000C5058"/>
    <w:rsid w:val="000C543C"/>
    <w:rsid w:val="000C58BE"/>
    <w:rsid w:val="000C636F"/>
    <w:rsid w:val="000C6854"/>
    <w:rsid w:val="000C692E"/>
    <w:rsid w:val="000C6F3D"/>
    <w:rsid w:val="000C78AB"/>
    <w:rsid w:val="000D2604"/>
    <w:rsid w:val="000D5B4D"/>
    <w:rsid w:val="000D71C1"/>
    <w:rsid w:val="000E1966"/>
    <w:rsid w:val="000E4E19"/>
    <w:rsid w:val="000E60A0"/>
    <w:rsid w:val="000E6258"/>
    <w:rsid w:val="000E6E86"/>
    <w:rsid w:val="000F07D0"/>
    <w:rsid w:val="000F38DE"/>
    <w:rsid w:val="000F7ECE"/>
    <w:rsid w:val="001001AB"/>
    <w:rsid w:val="00103C4A"/>
    <w:rsid w:val="00105D0D"/>
    <w:rsid w:val="00105E2D"/>
    <w:rsid w:val="00113B52"/>
    <w:rsid w:val="00115DC8"/>
    <w:rsid w:val="00117296"/>
    <w:rsid w:val="001200C8"/>
    <w:rsid w:val="00121072"/>
    <w:rsid w:val="001219A5"/>
    <w:rsid w:val="0012445E"/>
    <w:rsid w:val="00125B36"/>
    <w:rsid w:val="001260A7"/>
    <w:rsid w:val="001343D1"/>
    <w:rsid w:val="00136965"/>
    <w:rsid w:val="001377F5"/>
    <w:rsid w:val="00142536"/>
    <w:rsid w:val="0014693D"/>
    <w:rsid w:val="00146D71"/>
    <w:rsid w:val="00153822"/>
    <w:rsid w:val="00153A40"/>
    <w:rsid w:val="00155CC3"/>
    <w:rsid w:val="00157FE1"/>
    <w:rsid w:val="00160E2E"/>
    <w:rsid w:val="0017378F"/>
    <w:rsid w:val="00175D6C"/>
    <w:rsid w:val="001819FA"/>
    <w:rsid w:val="00191ED2"/>
    <w:rsid w:val="00197DA2"/>
    <w:rsid w:val="001A3DEF"/>
    <w:rsid w:val="001A714B"/>
    <w:rsid w:val="001B3376"/>
    <w:rsid w:val="001B4E40"/>
    <w:rsid w:val="001B6850"/>
    <w:rsid w:val="001B6F08"/>
    <w:rsid w:val="001B7691"/>
    <w:rsid w:val="001B7CAC"/>
    <w:rsid w:val="001C4AEA"/>
    <w:rsid w:val="001D089F"/>
    <w:rsid w:val="001D5507"/>
    <w:rsid w:val="001D729D"/>
    <w:rsid w:val="001E04BE"/>
    <w:rsid w:val="001E0FD6"/>
    <w:rsid w:val="001E2C27"/>
    <w:rsid w:val="001E34F8"/>
    <w:rsid w:val="001E3FB3"/>
    <w:rsid w:val="001F08D2"/>
    <w:rsid w:val="001F1474"/>
    <w:rsid w:val="001F252B"/>
    <w:rsid w:val="001F791A"/>
    <w:rsid w:val="001F7C67"/>
    <w:rsid w:val="00203066"/>
    <w:rsid w:val="00204C38"/>
    <w:rsid w:val="00204D5F"/>
    <w:rsid w:val="0020500C"/>
    <w:rsid w:val="00212756"/>
    <w:rsid w:val="002129F6"/>
    <w:rsid w:val="00214847"/>
    <w:rsid w:val="00216CA7"/>
    <w:rsid w:val="002202F9"/>
    <w:rsid w:val="002215D8"/>
    <w:rsid w:val="00221A7C"/>
    <w:rsid w:val="00222F71"/>
    <w:rsid w:val="00227175"/>
    <w:rsid w:val="00231CC9"/>
    <w:rsid w:val="002324B1"/>
    <w:rsid w:val="0023372B"/>
    <w:rsid w:val="00233782"/>
    <w:rsid w:val="00236CB7"/>
    <w:rsid w:val="00237ED7"/>
    <w:rsid w:val="00241463"/>
    <w:rsid w:val="0024260E"/>
    <w:rsid w:val="0024308C"/>
    <w:rsid w:val="002430AD"/>
    <w:rsid w:val="00245BD2"/>
    <w:rsid w:val="0024613E"/>
    <w:rsid w:val="002463A4"/>
    <w:rsid w:val="00251BD4"/>
    <w:rsid w:val="00253B42"/>
    <w:rsid w:val="00254111"/>
    <w:rsid w:val="00256208"/>
    <w:rsid w:val="00256CA0"/>
    <w:rsid w:val="00261261"/>
    <w:rsid w:val="002619D9"/>
    <w:rsid w:val="00263171"/>
    <w:rsid w:val="002634C3"/>
    <w:rsid w:val="002639BB"/>
    <w:rsid w:val="0026795B"/>
    <w:rsid w:val="00267F5B"/>
    <w:rsid w:val="002749B9"/>
    <w:rsid w:val="0027550A"/>
    <w:rsid w:val="002758DC"/>
    <w:rsid w:val="00277290"/>
    <w:rsid w:val="00282283"/>
    <w:rsid w:val="00283DC7"/>
    <w:rsid w:val="0028640B"/>
    <w:rsid w:val="002865EE"/>
    <w:rsid w:val="00291A59"/>
    <w:rsid w:val="00294899"/>
    <w:rsid w:val="00296CD4"/>
    <w:rsid w:val="002A0C40"/>
    <w:rsid w:val="002A2938"/>
    <w:rsid w:val="002B0502"/>
    <w:rsid w:val="002B09A9"/>
    <w:rsid w:val="002B1D43"/>
    <w:rsid w:val="002B3661"/>
    <w:rsid w:val="002B4536"/>
    <w:rsid w:val="002B7ECB"/>
    <w:rsid w:val="002B7F1B"/>
    <w:rsid w:val="002C5719"/>
    <w:rsid w:val="002C765B"/>
    <w:rsid w:val="002D0947"/>
    <w:rsid w:val="002D09B4"/>
    <w:rsid w:val="002D58B3"/>
    <w:rsid w:val="002D6388"/>
    <w:rsid w:val="002D7058"/>
    <w:rsid w:val="002D750C"/>
    <w:rsid w:val="002E12C5"/>
    <w:rsid w:val="002E17FB"/>
    <w:rsid w:val="002E34F3"/>
    <w:rsid w:val="002E6A60"/>
    <w:rsid w:val="002E6EF6"/>
    <w:rsid w:val="002E78A8"/>
    <w:rsid w:val="002F0B78"/>
    <w:rsid w:val="002F1589"/>
    <w:rsid w:val="002F171B"/>
    <w:rsid w:val="002F2F7C"/>
    <w:rsid w:val="002F5AEE"/>
    <w:rsid w:val="002F6714"/>
    <w:rsid w:val="0030477E"/>
    <w:rsid w:val="003066D8"/>
    <w:rsid w:val="00306DE8"/>
    <w:rsid w:val="00307599"/>
    <w:rsid w:val="00307BF0"/>
    <w:rsid w:val="00322BCE"/>
    <w:rsid w:val="00322C8D"/>
    <w:rsid w:val="0033347E"/>
    <w:rsid w:val="003361E3"/>
    <w:rsid w:val="00337F18"/>
    <w:rsid w:val="00340BAE"/>
    <w:rsid w:val="00341F8D"/>
    <w:rsid w:val="00341FB8"/>
    <w:rsid w:val="00341FD8"/>
    <w:rsid w:val="0034588E"/>
    <w:rsid w:val="003471F8"/>
    <w:rsid w:val="00347D5E"/>
    <w:rsid w:val="00352867"/>
    <w:rsid w:val="00353E41"/>
    <w:rsid w:val="00355631"/>
    <w:rsid w:val="00355BC1"/>
    <w:rsid w:val="00355E42"/>
    <w:rsid w:val="0035602C"/>
    <w:rsid w:val="00356B66"/>
    <w:rsid w:val="00360316"/>
    <w:rsid w:val="00367195"/>
    <w:rsid w:val="0037017A"/>
    <w:rsid w:val="00371CE3"/>
    <w:rsid w:val="003742C4"/>
    <w:rsid w:val="00374CEA"/>
    <w:rsid w:val="00376902"/>
    <w:rsid w:val="00377A6C"/>
    <w:rsid w:val="00380520"/>
    <w:rsid w:val="00380E23"/>
    <w:rsid w:val="00392103"/>
    <w:rsid w:val="00393DE3"/>
    <w:rsid w:val="003966B7"/>
    <w:rsid w:val="003A0B70"/>
    <w:rsid w:val="003A2405"/>
    <w:rsid w:val="003A40C5"/>
    <w:rsid w:val="003A706B"/>
    <w:rsid w:val="003B077E"/>
    <w:rsid w:val="003B187E"/>
    <w:rsid w:val="003B3252"/>
    <w:rsid w:val="003B438B"/>
    <w:rsid w:val="003B5A32"/>
    <w:rsid w:val="003C4DC2"/>
    <w:rsid w:val="003C7BCF"/>
    <w:rsid w:val="003D090B"/>
    <w:rsid w:val="003D586D"/>
    <w:rsid w:val="003E0530"/>
    <w:rsid w:val="003E3B06"/>
    <w:rsid w:val="003E3E76"/>
    <w:rsid w:val="003E622B"/>
    <w:rsid w:val="003E773D"/>
    <w:rsid w:val="003E7BCF"/>
    <w:rsid w:val="003F1FEA"/>
    <w:rsid w:val="003F4160"/>
    <w:rsid w:val="003F6CC3"/>
    <w:rsid w:val="00406C0F"/>
    <w:rsid w:val="0041203E"/>
    <w:rsid w:val="004125D3"/>
    <w:rsid w:val="00416E2E"/>
    <w:rsid w:val="00420C11"/>
    <w:rsid w:val="00421735"/>
    <w:rsid w:val="004219EE"/>
    <w:rsid w:val="0042236B"/>
    <w:rsid w:val="004226E4"/>
    <w:rsid w:val="004226E8"/>
    <w:rsid w:val="004270A6"/>
    <w:rsid w:val="0042716F"/>
    <w:rsid w:val="00427566"/>
    <w:rsid w:val="00430D3D"/>
    <w:rsid w:val="00436B4D"/>
    <w:rsid w:val="00440B96"/>
    <w:rsid w:val="00444E14"/>
    <w:rsid w:val="0045005A"/>
    <w:rsid w:val="00450E72"/>
    <w:rsid w:val="0045473B"/>
    <w:rsid w:val="004552EE"/>
    <w:rsid w:val="00455536"/>
    <w:rsid w:val="00455F65"/>
    <w:rsid w:val="00457CAF"/>
    <w:rsid w:val="00461294"/>
    <w:rsid w:val="0046315E"/>
    <w:rsid w:val="00464421"/>
    <w:rsid w:val="00470EDD"/>
    <w:rsid w:val="0047383B"/>
    <w:rsid w:val="004755FA"/>
    <w:rsid w:val="004779D5"/>
    <w:rsid w:val="004820AD"/>
    <w:rsid w:val="00486602"/>
    <w:rsid w:val="004910B9"/>
    <w:rsid w:val="00494DEA"/>
    <w:rsid w:val="0049675F"/>
    <w:rsid w:val="00496C01"/>
    <w:rsid w:val="00497AD7"/>
    <w:rsid w:val="004A231A"/>
    <w:rsid w:val="004A2617"/>
    <w:rsid w:val="004A2B4D"/>
    <w:rsid w:val="004A4C30"/>
    <w:rsid w:val="004B0C79"/>
    <w:rsid w:val="004B6AE3"/>
    <w:rsid w:val="004B7C09"/>
    <w:rsid w:val="004B7F66"/>
    <w:rsid w:val="004C0907"/>
    <w:rsid w:val="004C25F5"/>
    <w:rsid w:val="004D1238"/>
    <w:rsid w:val="004D4B64"/>
    <w:rsid w:val="004D69A9"/>
    <w:rsid w:val="004D6ED0"/>
    <w:rsid w:val="004E23B2"/>
    <w:rsid w:val="004E2994"/>
    <w:rsid w:val="004E5552"/>
    <w:rsid w:val="004E72A3"/>
    <w:rsid w:val="004E7815"/>
    <w:rsid w:val="004F0AF4"/>
    <w:rsid w:val="004F0E63"/>
    <w:rsid w:val="004F273F"/>
    <w:rsid w:val="004F33B9"/>
    <w:rsid w:val="0050244B"/>
    <w:rsid w:val="00506336"/>
    <w:rsid w:val="00511567"/>
    <w:rsid w:val="0051164F"/>
    <w:rsid w:val="005151FB"/>
    <w:rsid w:val="00515A2B"/>
    <w:rsid w:val="00517171"/>
    <w:rsid w:val="005171DB"/>
    <w:rsid w:val="005226F5"/>
    <w:rsid w:val="00522F1F"/>
    <w:rsid w:val="00524A54"/>
    <w:rsid w:val="005253DF"/>
    <w:rsid w:val="005254ED"/>
    <w:rsid w:val="005276E5"/>
    <w:rsid w:val="005303AC"/>
    <w:rsid w:val="00530A56"/>
    <w:rsid w:val="00530FA0"/>
    <w:rsid w:val="00531C6F"/>
    <w:rsid w:val="0053226D"/>
    <w:rsid w:val="005400D5"/>
    <w:rsid w:val="005401AA"/>
    <w:rsid w:val="00542168"/>
    <w:rsid w:val="00544D69"/>
    <w:rsid w:val="00546939"/>
    <w:rsid w:val="0054716A"/>
    <w:rsid w:val="005509AE"/>
    <w:rsid w:val="00552DB1"/>
    <w:rsid w:val="00552DFD"/>
    <w:rsid w:val="00554364"/>
    <w:rsid w:val="00557834"/>
    <w:rsid w:val="00557FB9"/>
    <w:rsid w:val="00562A7B"/>
    <w:rsid w:val="00564BF9"/>
    <w:rsid w:val="00566D9C"/>
    <w:rsid w:val="00566F51"/>
    <w:rsid w:val="005747C7"/>
    <w:rsid w:val="00577CA0"/>
    <w:rsid w:val="00581107"/>
    <w:rsid w:val="005834CB"/>
    <w:rsid w:val="0058358D"/>
    <w:rsid w:val="00585915"/>
    <w:rsid w:val="005917C6"/>
    <w:rsid w:val="005927DF"/>
    <w:rsid w:val="005935DC"/>
    <w:rsid w:val="0059492A"/>
    <w:rsid w:val="005955FE"/>
    <w:rsid w:val="00596EBF"/>
    <w:rsid w:val="005A1880"/>
    <w:rsid w:val="005A2798"/>
    <w:rsid w:val="005A33E1"/>
    <w:rsid w:val="005A50F3"/>
    <w:rsid w:val="005A7A0A"/>
    <w:rsid w:val="005B40B0"/>
    <w:rsid w:val="005B4456"/>
    <w:rsid w:val="005C080F"/>
    <w:rsid w:val="005C18F9"/>
    <w:rsid w:val="005C1EDB"/>
    <w:rsid w:val="005C399D"/>
    <w:rsid w:val="005C3EDA"/>
    <w:rsid w:val="005C4430"/>
    <w:rsid w:val="005C5E6A"/>
    <w:rsid w:val="005D01DB"/>
    <w:rsid w:val="005D05EE"/>
    <w:rsid w:val="005D23E7"/>
    <w:rsid w:val="005D34D9"/>
    <w:rsid w:val="005D3892"/>
    <w:rsid w:val="005D45F4"/>
    <w:rsid w:val="005D5214"/>
    <w:rsid w:val="005D583A"/>
    <w:rsid w:val="005E46F7"/>
    <w:rsid w:val="005E4C2B"/>
    <w:rsid w:val="005E5ED4"/>
    <w:rsid w:val="005F2BDA"/>
    <w:rsid w:val="005F42AB"/>
    <w:rsid w:val="005F5C2D"/>
    <w:rsid w:val="005F7332"/>
    <w:rsid w:val="005F739F"/>
    <w:rsid w:val="005F76C3"/>
    <w:rsid w:val="005F7992"/>
    <w:rsid w:val="005F7BD8"/>
    <w:rsid w:val="00603298"/>
    <w:rsid w:val="00604453"/>
    <w:rsid w:val="006051EE"/>
    <w:rsid w:val="00605B29"/>
    <w:rsid w:val="00607332"/>
    <w:rsid w:val="0061009C"/>
    <w:rsid w:val="006116E8"/>
    <w:rsid w:val="00611AA9"/>
    <w:rsid w:val="0061237D"/>
    <w:rsid w:val="00613020"/>
    <w:rsid w:val="006162E3"/>
    <w:rsid w:val="00620BCB"/>
    <w:rsid w:val="006249AF"/>
    <w:rsid w:val="0063387A"/>
    <w:rsid w:val="00635CD8"/>
    <w:rsid w:val="006375C7"/>
    <w:rsid w:val="006415E9"/>
    <w:rsid w:val="00643150"/>
    <w:rsid w:val="00644311"/>
    <w:rsid w:val="00651941"/>
    <w:rsid w:val="006548FA"/>
    <w:rsid w:val="00655025"/>
    <w:rsid w:val="006627C4"/>
    <w:rsid w:val="00662EDE"/>
    <w:rsid w:val="00664A80"/>
    <w:rsid w:val="00666729"/>
    <w:rsid w:val="00671FB1"/>
    <w:rsid w:val="006752DA"/>
    <w:rsid w:val="00676560"/>
    <w:rsid w:val="00683CE2"/>
    <w:rsid w:val="00692CA8"/>
    <w:rsid w:val="00693394"/>
    <w:rsid w:val="00693B8A"/>
    <w:rsid w:val="00695970"/>
    <w:rsid w:val="006959C7"/>
    <w:rsid w:val="006961E3"/>
    <w:rsid w:val="0069778D"/>
    <w:rsid w:val="00697C51"/>
    <w:rsid w:val="006A546B"/>
    <w:rsid w:val="006B090D"/>
    <w:rsid w:val="006B387B"/>
    <w:rsid w:val="006B4874"/>
    <w:rsid w:val="006B5317"/>
    <w:rsid w:val="006B682F"/>
    <w:rsid w:val="006C0243"/>
    <w:rsid w:val="006C3AA6"/>
    <w:rsid w:val="006C5A44"/>
    <w:rsid w:val="006C62FE"/>
    <w:rsid w:val="006C6B58"/>
    <w:rsid w:val="006D2A6A"/>
    <w:rsid w:val="006D2FAB"/>
    <w:rsid w:val="006D318F"/>
    <w:rsid w:val="006D4287"/>
    <w:rsid w:val="006D6680"/>
    <w:rsid w:val="006D72D8"/>
    <w:rsid w:val="006E0949"/>
    <w:rsid w:val="006E2AFB"/>
    <w:rsid w:val="006E4DDF"/>
    <w:rsid w:val="006E52BA"/>
    <w:rsid w:val="006E7793"/>
    <w:rsid w:val="006F00F1"/>
    <w:rsid w:val="006F0283"/>
    <w:rsid w:val="006F31B9"/>
    <w:rsid w:val="007002C2"/>
    <w:rsid w:val="007018BA"/>
    <w:rsid w:val="00702440"/>
    <w:rsid w:val="007030B5"/>
    <w:rsid w:val="007040CD"/>
    <w:rsid w:val="00705347"/>
    <w:rsid w:val="00710E03"/>
    <w:rsid w:val="00711FF0"/>
    <w:rsid w:val="007219C5"/>
    <w:rsid w:val="00721CF6"/>
    <w:rsid w:val="00723DE8"/>
    <w:rsid w:val="00723E0D"/>
    <w:rsid w:val="00730FFE"/>
    <w:rsid w:val="00731E59"/>
    <w:rsid w:val="007324FC"/>
    <w:rsid w:val="0073420C"/>
    <w:rsid w:val="00734D97"/>
    <w:rsid w:val="0073554D"/>
    <w:rsid w:val="00735E61"/>
    <w:rsid w:val="007360BC"/>
    <w:rsid w:val="007404C9"/>
    <w:rsid w:val="00740810"/>
    <w:rsid w:val="00741DA4"/>
    <w:rsid w:val="007438AC"/>
    <w:rsid w:val="007459B3"/>
    <w:rsid w:val="00747192"/>
    <w:rsid w:val="0075078E"/>
    <w:rsid w:val="00760D0A"/>
    <w:rsid w:val="007623B9"/>
    <w:rsid w:val="00762832"/>
    <w:rsid w:val="0076393B"/>
    <w:rsid w:val="00763F0F"/>
    <w:rsid w:val="00766460"/>
    <w:rsid w:val="007664BC"/>
    <w:rsid w:val="00770A00"/>
    <w:rsid w:val="00771187"/>
    <w:rsid w:val="00771525"/>
    <w:rsid w:val="007729B4"/>
    <w:rsid w:val="007741DB"/>
    <w:rsid w:val="00776ABB"/>
    <w:rsid w:val="00781505"/>
    <w:rsid w:val="00785302"/>
    <w:rsid w:val="007858D4"/>
    <w:rsid w:val="00785B5A"/>
    <w:rsid w:val="00785F86"/>
    <w:rsid w:val="0079310F"/>
    <w:rsid w:val="00794D9D"/>
    <w:rsid w:val="00795665"/>
    <w:rsid w:val="007B0638"/>
    <w:rsid w:val="007B0F83"/>
    <w:rsid w:val="007B315F"/>
    <w:rsid w:val="007B3C0C"/>
    <w:rsid w:val="007B51ED"/>
    <w:rsid w:val="007B5290"/>
    <w:rsid w:val="007C37D9"/>
    <w:rsid w:val="007C736F"/>
    <w:rsid w:val="007D126B"/>
    <w:rsid w:val="007D17C3"/>
    <w:rsid w:val="007D59F7"/>
    <w:rsid w:val="007D66F2"/>
    <w:rsid w:val="007D786E"/>
    <w:rsid w:val="007E123D"/>
    <w:rsid w:val="007E6DC7"/>
    <w:rsid w:val="007E7C29"/>
    <w:rsid w:val="007F301C"/>
    <w:rsid w:val="007F309E"/>
    <w:rsid w:val="007F5474"/>
    <w:rsid w:val="007F57F2"/>
    <w:rsid w:val="00801BF7"/>
    <w:rsid w:val="00801C2A"/>
    <w:rsid w:val="00801F2B"/>
    <w:rsid w:val="00804EA2"/>
    <w:rsid w:val="00807294"/>
    <w:rsid w:val="008136F4"/>
    <w:rsid w:val="00821012"/>
    <w:rsid w:val="00821F83"/>
    <w:rsid w:val="0082379F"/>
    <w:rsid w:val="00830D87"/>
    <w:rsid w:val="008311C9"/>
    <w:rsid w:val="008318FB"/>
    <w:rsid w:val="00832E0E"/>
    <w:rsid w:val="00834270"/>
    <w:rsid w:val="00834C67"/>
    <w:rsid w:val="00840266"/>
    <w:rsid w:val="008429E9"/>
    <w:rsid w:val="00845733"/>
    <w:rsid w:val="00855627"/>
    <w:rsid w:val="00856847"/>
    <w:rsid w:val="00860915"/>
    <w:rsid w:val="008637BD"/>
    <w:rsid w:val="008637F7"/>
    <w:rsid w:val="00866F97"/>
    <w:rsid w:val="00871CB1"/>
    <w:rsid w:val="008720E8"/>
    <w:rsid w:val="008732D2"/>
    <w:rsid w:val="0087394D"/>
    <w:rsid w:val="00873BA1"/>
    <w:rsid w:val="00874DC5"/>
    <w:rsid w:val="00875B64"/>
    <w:rsid w:val="00876C70"/>
    <w:rsid w:val="008805D0"/>
    <w:rsid w:val="00892427"/>
    <w:rsid w:val="0089348C"/>
    <w:rsid w:val="00893C37"/>
    <w:rsid w:val="00897FCB"/>
    <w:rsid w:val="008A1032"/>
    <w:rsid w:val="008A277D"/>
    <w:rsid w:val="008A307D"/>
    <w:rsid w:val="008B5A30"/>
    <w:rsid w:val="008B5B0F"/>
    <w:rsid w:val="008B685B"/>
    <w:rsid w:val="008C2557"/>
    <w:rsid w:val="008D0EEB"/>
    <w:rsid w:val="008D1D92"/>
    <w:rsid w:val="008E1976"/>
    <w:rsid w:val="008E446F"/>
    <w:rsid w:val="008E4DE9"/>
    <w:rsid w:val="008F01B5"/>
    <w:rsid w:val="008F1A37"/>
    <w:rsid w:val="008F1B5E"/>
    <w:rsid w:val="008F3E7D"/>
    <w:rsid w:val="008F768B"/>
    <w:rsid w:val="008F7A20"/>
    <w:rsid w:val="00903892"/>
    <w:rsid w:val="0090576F"/>
    <w:rsid w:val="00912AFB"/>
    <w:rsid w:val="00913330"/>
    <w:rsid w:val="0092254B"/>
    <w:rsid w:val="00922689"/>
    <w:rsid w:val="00922F9E"/>
    <w:rsid w:val="0092352D"/>
    <w:rsid w:val="00924EF6"/>
    <w:rsid w:val="0092725E"/>
    <w:rsid w:val="00927A4D"/>
    <w:rsid w:val="00927F56"/>
    <w:rsid w:val="00932261"/>
    <w:rsid w:val="009337B1"/>
    <w:rsid w:val="00933A67"/>
    <w:rsid w:val="00935F2A"/>
    <w:rsid w:val="00944ED4"/>
    <w:rsid w:val="009456A5"/>
    <w:rsid w:val="009458BA"/>
    <w:rsid w:val="00951FC2"/>
    <w:rsid w:val="00952E65"/>
    <w:rsid w:val="00955E13"/>
    <w:rsid w:val="00955FB8"/>
    <w:rsid w:val="00956E0C"/>
    <w:rsid w:val="00957766"/>
    <w:rsid w:val="00957EFA"/>
    <w:rsid w:val="00964312"/>
    <w:rsid w:val="0096660C"/>
    <w:rsid w:val="00967257"/>
    <w:rsid w:val="00971025"/>
    <w:rsid w:val="00974553"/>
    <w:rsid w:val="00975323"/>
    <w:rsid w:val="0098120E"/>
    <w:rsid w:val="00983EC4"/>
    <w:rsid w:val="0098652A"/>
    <w:rsid w:val="00986BBE"/>
    <w:rsid w:val="00987E23"/>
    <w:rsid w:val="00992219"/>
    <w:rsid w:val="0099677B"/>
    <w:rsid w:val="009A06FA"/>
    <w:rsid w:val="009A0D5B"/>
    <w:rsid w:val="009A2683"/>
    <w:rsid w:val="009A3286"/>
    <w:rsid w:val="009A5FB5"/>
    <w:rsid w:val="009B03FD"/>
    <w:rsid w:val="009B3480"/>
    <w:rsid w:val="009B59F7"/>
    <w:rsid w:val="009B615A"/>
    <w:rsid w:val="009D0344"/>
    <w:rsid w:val="009D1560"/>
    <w:rsid w:val="009D3AF1"/>
    <w:rsid w:val="009E0203"/>
    <w:rsid w:val="009E0497"/>
    <w:rsid w:val="009E0887"/>
    <w:rsid w:val="009E1604"/>
    <w:rsid w:val="009E1CE0"/>
    <w:rsid w:val="009E3C87"/>
    <w:rsid w:val="009E7E38"/>
    <w:rsid w:val="009F1190"/>
    <w:rsid w:val="009F2138"/>
    <w:rsid w:val="009F5C12"/>
    <w:rsid w:val="009F7DA1"/>
    <w:rsid w:val="00A0007E"/>
    <w:rsid w:val="00A003EF"/>
    <w:rsid w:val="00A00A7F"/>
    <w:rsid w:val="00A01FC2"/>
    <w:rsid w:val="00A042E2"/>
    <w:rsid w:val="00A047F2"/>
    <w:rsid w:val="00A04A8B"/>
    <w:rsid w:val="00A06A25"/>
    <w:rsid w:val="00A13ECF"/>
    <w:rsid w:val="00A15271"/>
    <w:rsid w:val="00A210DE"/>
    <w:rsid w:val="00A21B6E"/>
    <w:rsid w:val="00A2573A"/>
    <w:rsid w:val="00A31DD1"/>
    <w:rsid w:val="00A32932"/>
    <w:rsid w:val="00A3385E"/>
    <w:rsid w:val="00A40629"/>
    <w:rsid w:val="00A4100F"/>
    <w:rsid w:val="00A415E2"/>
    <w:rsid w:val="00A43B50"/>
    <w:rsid w:val="00A45E1A"/>
    <w:rsid w:val="00A50B1E"/>
    <w:rsid w:val="00A52947"/>
    <w:rsid w:val="00A53B3D"/>
    <w:rsid w:val="00A60AA7"/>
    <w:rsid w:val="00A65002"/>
    <w:rsid w:val="00A70081"/>
    <w:rsid w:val="00A71AEE"/>
    <w:rsid w:val="00A71D13"/>
    <w:rsid w:val="00A75781"/>
    <w:rsid w:val="00A83F20"/>
    <w:rsid w:val="00A8456C"/>
    <w:rsid w:val="00A84C8A"/>
    <w:rsid w:val="00A90CF5"/>
    <w:rsid w:val="00A90F58"/>
    <w:rsid w:val="00A92F41"/>
    <w:rsid w:val="00A974E3"/>
    <w:rsid w:val="00A978F6"/>
    <w:rsid w:val="00AA0689"/>
    <w:rsid w:val="00AA5615"/>
    <w:rsid w:val="00AA72A3"/>
    <w:rsid w:val="00AA7CF5"/>
    <w:rsid w:val="00AB0E0F"/>
    <w:rsid w:val="00AB0EF9"/>
    <w:rsid w:val="00AB1CDB"/>
    <w:rsid w:val="00AB39D4"/>
    <w:rsid w:val="00AB5DC0"/>
    <w:rsid w:val="00AB6D10"/>
    <w:rsid w:val="00AC3CB3"/>
    <w:rsid w:val="00AC5A56"/>
    <w:rsid w:val="00AD19BF"/>
    <w:rsid w:val="00AD2958"/>
    <w:rsid w:val="00AD3CDD"/>
    <w:rsid w:val="00AD7B91"/>
    <w:rsid w:val="00AE009D"/>
    <w:rsid w:val="00AE4880"/>
    <w:rsid w:val="00AE5D7F"/>
    <w:rsid w:val="00AE65FE"/>
    <w:rsid w:val="00AE6779"/>
    <w:rsid w:val="00AE6E47"/>
    <w:rsid w:val="00AE7063"/>
    <w:rsid w:val="00AF30B2"/>
    <w:rsid w:val="00AF31F5"/>
    <w:rsid w:val="00AF3574"/>
    <w:rsid w:val="00AF58E9"/>
    <w:rsid w:val="00AF58F5"/>
    <w:rsid w:val="00AF6105"/>
    <w:rsid w:val="00B00C4A"/>
    <w:rsid w:val="00B01063"/>
    <w:rsid w:val="00B0297F"/>
    <w:rsid w:val="00B030BF"/>
    <w:rsid w:val="00B054E3"/>
    <w:rsid w:val="00B06B4C"/>
    <w:rsid w:val="00B1441B"/>
    <w:rsid w:val="00B1518E"/>
    <w:rsid w:val="00B15B01"/>
    <w:rsid w:val="00B172A2"/>
    <w:rsid w:val="00B20F0B"/>
    <w:rsid w:val="00B228FE"/>
    <w:rsid w:val="00B25A7F"/>
    <w:rsid w:val="00B270B8"/>
    <w:rsid w:val="00B27C69"/>
    <w:rsid w:val="00B30953"/>
    <w:rsid w:val="00B324DF"/>
    <w:rsid w:val="00B33B77"/>
    <w:rsid w:val="00B4165A"/>
    <w:rsid w:val="00B421DD"/>
    <w:rsid w:val="00B4244A"/>
    <w:rsid w:val="00B431C1"/>
    <w:rsid w:val="00B4460A"/>
    <w:rsid w:val="00B505C2"/>
    <w:rsid w:val="00B51134"/>
    <w:rsid w:val="00B5226C"/>
    <w:rsid w:val="00B52BB2"/>
    <w:rsid w:val="00B538B9"/>
    <w:rsid w:val="00B560BB"/>
    <w:rsid w:val="00B56BBE"/>
    <w:rsid w:val="00B6030E"/>
    <w:rsid w:val="00B6065F"/>
    <w:rsid w:val="00B62469"/>
    <w:rsid w:val="00B62A41"/>
    <w:rsid w:val="00B6380F"/>
    <w:rsid w:val="00B644C4"/>
    <w:rsid w:val="00B67D24"/>
    <w:rsid w:val="00B67FEC"/>
    <w:rsid w:val="00B71A06"/>
    <w:rsid w:val="00B72F54"/>
    <w:rsid w:val="00B7507F"/>
    <w:rsid w:val="00B80324"/>
    <w:rsid w:val="00B830DD"/>
    <w:rsid w:val="00B84F1F"/>
    <w:rsid w:val="00B8623B"/>
    <w:rsid w:val="00B90024"/>
    <w:rsid w:val="00B91B00"/>
    <w:rsid w:val="00B91C64"/>
    <w:rsid w:val="00B951D0"/>
    <w:rsid w:val="00B97C5D"/>
    <w:rsid w:val="00BA269F"/>
    <w:rsid w:val="00BA4B45"/>
    <w:rsid w:val="00BB6E7F"/>
    <w:rsid w:val="00BC0EFC"/>
    <w:rsid w:val="00BC2B66"/>
    <w:rsid w:val="00BC6250"/>
    <w:rsid w:val="00BD5DC6"/>
    <w:rsid w:val="00BE194E"/>
    <w:rsid w:val="00BE20B6"/>
    <w:rsid w:val="00BE3853"/>
    <w:rsid w:val="00BE4BBB"/>
    <w:rsid w:val="00BE6F51"/>
    <w:rsid w:val="00BF21D5"/>
    <w:rsid w:val="00BF4FEC"/>
    <w:rsid w:val="00BF50ED"/>
    <w:rsid w:val="00C02556"/>
    <w:rsid w:val="00C0298E"/>
    <w:rsid w:val="00C02C6F"/>
    <w:rsid w:val="00C05407"/>
    <w:rsid w:val="00C054B5"/>
    <w:rsid w:val="00C05B1C"/>
    <w:rsid w:val="00C07D3C"/>
    <w:rsid w:val="00C104E7"/>
    <w:rsid w:val="00C1562E"/>
    <w:rsid w:val="00C16DEC"/>
    <w:rsid w:val="00C16F10"/>
    <w:rsid w:val="00C209EE"/>
    <w:rsid w:val="00C212A6"/>
    <w:rsid w:val="00C21D17"/>
    <w:rsid w:val="00C22E45"/>
    <w:rsid w:val="00C23E63"/>
    <w:rsid w:val="00C25183"/>
    <w:rsid w:val="00C2642E"/>
    <w:rsid w:val="00C26608"/>
    <w:rsid w:val="00C27606"/>
    <w:rsid w:val="00C30E8F"/>
    <w:rsid w:val="00C315DC"/>
    <w:rsid w:val="00C3294B"/>
    <w:rsid w:val="00C355FF"/>
    <w:rsid w:val="00C35882"/>
    <w:rsid w:val="00C35D3A"/>
    <w:rsid w:val="00C41D25"/>
    <w:rsid w:val="00C41E8A"/>
    <w:rsid w:val="00C4396C"/>
    <w:rsid w:val="00C43B36"/>
    <w:rsid w:val="00C44F18"/>
    <w:rsid w:val="00C52406"/>
    <w:rsid w:val="00C5373A"/>
    <w:rsid w:val="00C55FD8"/>
    <w:rsid w:val="00C574F4"/>
    <w:rsid w:val="00C601AD"/>
    <w:rsid w:val="00C603C1"/>
    <w:rsid w:val="00C60765"/>
    <w:rsid w:val="00C608F1"/>
    <w:rsid w:val="00C6380A"/>
    <w:rsid w:val="00C7106F"/>
    <w:rsid w:val="00C7126D"/>
    <w:rsid w:val="00C718A3"/>
    <w:rsid w:val="00C81C51"/>
    <w:rsid w:val="00C82106"/>
    <w:rsid w:val="00C825D3"/>
    <w:rsid w:val="00C82ACD"/>
    <w:rsid w:val="00C84466"/>
    <w:rsid w:val="00C8664F"/>
    <w:rsid w:val="00C90F63"/>
    <w:rsid w:val="00C91EDE"/>
    <w:rsid w:val="00C94258"/>
    <w:rsid w:val="00CA009D"/>
    <w:rsid w:val="00CA0E20"/>
    <w:rsid w:val="00CA207E"/>
    <w:rsid w:val="00CA505A"/>
    <w:rsid w:val="00CA5FF9"/>
    <w:rsid w:val="00CB072D"/>
    <w:rsid w:val="00CB572E"/>
    <w:rsid w:val="00CC0EBD"/>
    <w:rsid w:val="00CC1CB3"/>
    <w:rsid w:val="00CC4654"/>
    <w:rsid w:val="00CC4E04"/>
    <w:rsid w:val="00CC68EF"/>
    <w:rsid w:val="00CD0B06"/>
    <w:rsid w:val="00CD3A14"/>
    <w:rsid w:val="00CD5248"/>
    <w:rsid w:val="00CD65B9"/>
    <w:rsid w:val="00CF3391"/>
    <w:rsid w:val="00CF567A"/>
    <w:rsid w:val="00CF5AC2"/>
    <w:rsid w:val="00D07DCB"/>
    <w:rsid w:val="00D07E6D"/>
    <w:rsid w:val="00D11CC2"/>
    <w:rsid w:val="00D205CA"/>
    <w:rsid w:val="00D26590"/>
    <w:rsid w:val="00D34A85"/>
    <w:rsid w:val="00D36907"/>
    <w:rsid w:val="00D406E7"/>
    <w:rsid w:val="00D409D4"/>
    <w:rsid w:val="00D40E06"/>
    <w:rsid w:val="00D41D06"/>
    <w:rsid w:val="00D42346"/>
    <w:rsid w:val="00D425C3"/>
    <w:rsid w:val="00D44085"/>
    <w:rsid w:val="00D461F4"/>
    <w:rsid w:val="00D50CB9"/>
    <w:rsid w:val="00D51187"/>
    <w:rsid w:val="00D512EC"/>
    <w:rsid w:val="00D52AF1"/>
    <w:rsid w:val="00D53A78"/>
    <w:rsid w:val="00D60B58"/>
    <w:rsid w:val="00D61419"/>
    <w:rsid w:val="00D6191A"/>
    <w:rsid w:val="00D648DF"/>
    <w:rsid w:val="00D66CDB"/>
    <w:rsid w:val="00D671B1"/>
    <w:rsid w:val="00D674FB"/>
    <w:rsid w:val="00D740AB"/>
    <w:rsid w:val="00D74843"/>
    <w:rsid w:val="00D76E26"/>
    <w:rsid w:val="00D77FB2"/>
    <w:rsid w:val="00D83DA6"/>
    <w:rsid w:val="00D83E8F"/>
    <w:rsid w:val="00D85E90"/>
    <w:rsid w:val="00D8699C"/>
    <w:rsid w:val="00D905FE"/>
    <w:rsid w:val="00D91C8B"/>
    <w:rsid w:val="00D97B99"/>
    <w:rsid w:val="00D97CAA"/>
    <w:rsid w:val="00DA0CC5"/>
    <w:rsid w:val="00DA2E96"/>
    <w:rsid w:val="00DA3011"/>
    <w:rsid w:val="00DA3169"/>
    <w:rsid w:val="00DA41A0"/>
    <w:rsid w:val="00DA41EC"/>
    <w:rsid w:val="00DA5842"/>
    <w:rsid w:val="00DA7C6B"/>
    <w:rsid w:val="00DB0CC0"/>
    <w:rsid w:val="00DB103B"/>
    <w:rsid w:val="00DB10F2"/>
    <w:rsid w:val="00DB6ADC"/>
    <w:rsid w:val="00DC0E1B"/>
    <w:rsid w:val="00DC2063"/>
    <w:rsid w:val="00DC211D"/>
    <w:rsid w:val="00DC2F6E"/>
    <w:rsid w:val="00DC3B07"/>
    <w:rsid w:val="00DC4AD1"/>
    <w:rsid w:val="00DC5870"/>
    <w:rsid w:val="00DC6485"/>
    <w:rsid w:val="00DC65D9"/>
    <w:rsid w:val="00DD5E2D"/>
    <w:rsid w:val="00DD6A24"/>
    <w:rsid w:val="00DE21DD"/>
    <w:rsid w:val="00DE26A6"/>
    <w:rsid w:val="00DE7001"/>
    <w:rsid w:val="00DF2A41"/>
    <w:rsid w:val="00DF2CE5"/>
    <w:rsid w:val="00DF32A4"/>
    <w:rsid w:val="00DF4772"/>
    <w:rsid w:val="00DF5735"/>
    <w:rsid w:val="00DF6EC4"/>
    <w:rsid w:val="00DF7AF3"/>
    <w:rsid w:val="00DF7DD9"/>
    <w:rsid w:val="00E00206"/>
    <w:rsid w:val="00E007EA"/>
    <w:rsid w:val="00E0148F"/>
    <w:rsid w:val="00E017BC"/>
    <w:rsid w:val="00E03A4D"/>
    <w:rsid w:val="00E03D73"/>
    <w:rsid w:val="00E04C2E"/>
    <w:rsid w:val="00E130E0"/>
    <w:rsid w:val="00E13A48"/>
    <w:rsid w:val="00E16272"/>
    <w:rsid w:val="00E16A61"/>
    <w:rsid w:val="00E202CD"/>
    <w:rsid w:val="00E2434B"/>
    <w:rsid w:val="00E24A63"/>
    <w:rsid w:val="00E3176D"/>
    <w:rsid w:val="00E342BC"/>
    <w:rsid w:val="00E35D98"/>
    <w:rsid w:val="00E35E39"/>
    <w:rsid w:val="00E36F07"/>
    <w:rsid w:val="00E37063"/>
    <w:rsid w:val="00E40879"/>
    <w:rsid w:val="00E4336B"/>
    <w:rsid w:val="00E43A6E"/>
    <w:rsid w:val="00E43F59"/>
    <w:rsid w:val="00E44403"/>
    <w:rsid w:val="00E463C4"/>
    <w:rsid w:val="00E47632"/>
    <w:rsid w:val="00E53C5D"/>
    <w:rsid w:val="00E56B4C"/>
    <w:rsid w:val="00E60D5E"/>
    <w:rsid w:val="00E61042"/>
    <w:rsid w:val="00E62F8C"/>
    <w:rsid w:val="00E653D5"/>
    <w:rsid w:val="00E66BBD"/>
    <w:rsid w:val="00E67385"/>
    <w:rsid w:val="00E678F8"/>
    <w:rsid w:val="00E77D86"/>
    <w:rsid w:val="00E810BB"/>
    <w:rsid w:val="00E8233B"/>
    <w:rsid w:val="00E83148"/>
    <w:rsid w:val="00E84449"/>
    <w:rsid w:val="00E84C59"/>
    <w:rsid w:val="00E92454"/>
    <w:rsid w:val="00E93A1B"/>
    <w:rsid w:val="00E94505"/>
    <w:rsid w:val="00E94903"/>
    <w:rsid w:val="00E9624F"/>
    <w:rsid w:val="00EA2924"/>
    <w:rsid w:val="00EA3E2F"/>
    <w:rsid w:val="00EA6068"/>
    <w:rsid w:val="00EA65E9"/>
    <w:rsid w:val="00EA6A8D"/>
    <w:rsid w:val="00EA7A76"/>
    <w:rsid w:val="00EB1D8A"/>
    <w:rsid w:val="00EB1F51"/>
    <w:rsid w:val="00EB4DBE"/>
    <w:rsid w:val="00EB4EF2"/>
    <w:rsid w:val="00EB5C96"/>
    <w:rsid w:val="00EC4E5F"/>
    <w:rsid w:val="00EC4EAD"/>
    <w:rsid w:val="00EC67DF"/>
    <w:rsid w:val="00EC71ED"/>
    <w:rsid w:val="00EC7F99"/>
    <w:rsid w:val="00ED1179"/>
    <w:rsid w:val="00ED3FB0"/>
    <w:rsid w:val="00ED6D3A"/>
    <w:rsid w:val="00ED7BC8"/>
    <w:rsid w:val="00EE2533"/>
    <w:rsid w:val="00EE3595"/>
    <w:rsid w:val="00EE4AA1"/>
    <w:rsid w:val="00EE4DF2"/>
    <w:rsid w:val="00EE75E5"/>
    <w:rsid w:val="00F019C4"/>
    <w:rsid w:val="00F04146"/>
    <w:rsid w:val="00F05DA6"/>
    <w:rsid w:val="00F100EF"/>
    <w:rsid w:val="00F109AE"/>
    <w:rsid w:val="00F128AA"/>
    <w:rsid w:val="00F17EC9"/>
    <w:rsid w:val="00F21016"/>
    <w:rsid w:val="00F21E4A"/>
    <w:rsid w:val="00F2395E"/>
    <w:rsid w:val="00F25B87"/>
    <w:rsid w:val="00F26B31"/>
    <w:rsid w:val="00F26F5F"/>
    <w:rsid w:val="00F2700B"/>
    <w:rsid w:val="00F314AE"/>
    <w:rsid w:val="00F34288"/>
    <w:rsid w:val="00F35E8B"/>
    <w:rsid w:val="00F36C12"/>
    <w:rsid w:val="00F37D06"/>
    <w:rsid w:val="00F43624"/>
    <w:rsid w:val="00F4424E"/>
    <w:rsid w:val="00F46D15"/>
    <w:rsid w:val="00F51F99"/>
    <w:rsid w:val="00F554CF"/>
    <w:rsid w:val="00F55808"/>
    <w:rsid w:val="00F65CD1"/>
    <w:rsid w:val="00F673FB"/>
    <w:rsid w:val="00F717C6"/>
    <w:rsid w:val="00F77378"/>
    <w:rsid w:val="00F773FC"/>
    <w:rsid w:val="00F803AD"/>
    <w:rsid w:val="00F8154E"/>
    <w:rsid w:val="00F82513"/>
    <w:rsid w:val="00F833A3"/>
    <w:rsid w:val="00F863A5"/>
    <w:rsid w:val="00F902DD"/>
    <w:rsid w:val="00F92D6E"/>
    <w:rsid w:val="00F97ADF"/>
    <w:rsid w:val="00FA067E"/>
    <w:rsid w:val="00FA0DD3"/>
    <w:rsid w:val="00FA693B"/>
    <w:rsid w:val="00FA6DCD"/>
    <w:rsid w:val="00FA6ED9"/>
    <w:rsid w:val="00FA7350"/>
    <w:rsid w:val="00FB2039"/>
    <w:rsid w:val="00FB493C"/>
    <w:rsid w:val="00FB51CA"/>
    <w:rsid w:val="00FB5588"/>
    <w:rsid w:val="00FB5A47"/>
    <w:rsid w:val="00FB6ACB"/>
    <w:rsid w:val="00FC140A"/>
    <w:rsid w:val="00FC2F30"/>
    <w:rsid w:val="00FC452D"/>
    <w:rsid w:val="00FD23B0"/>
    <w:rsid w:val="00FD28C3"/>
    <w:rsid w:val="00FD36EF"/>
    <w:rsid w:val="00FD39CF"/>
    <w:rsid w:val="00FD4D56"/>
    <w:rsid w:val="00FD5A04"/>
    <w:rsid w:val="00FD5B32"/>
    <w:rsid w:val="00FD6104"/>
    <w:rsid w:val="00FE5087"/>
    <w:rsid w:val="00FF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4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62F8C"/>
    <w:pPr>
      <w:keepNext/>
      <w:keepLines/>
      <w:spacing w:before="240" w:after="240"/>
      <w:outlineLvl w:val="0"/>
    </w:pPr>
    <w:rPr>
      <w:rFonts w:eastAsiaTheme="majorEastAsia" w:cstheme="majorBidi"/>
      <w:b/>
      <w:caps/>
      <w:sz w:val="28"/>
      <w:szCs w:val="32"/>
      <w:u w:val="single"/>
    </w:rPr>
  </w:style>
  <w:style w:type="paragraph" w:styleId="Heading2">
    <w:name w:val="heading 2"/>
    <w:basedOn w:val="Normal"/>
    <w:next w:val="Normal"/>
    <w:link w:val="Heading2Char"/>
    <w:autoRedefine/>
    <w:uiPriority w:val="9"/>
    <w:unhideWhenUsed/>
    <w:qFormat/>
    <w:rsid w:val="00D07DCB"/>
    <w:pPr>
      <w:keepNext/>
      <w:keepLines/>
      <w:spacing w:before="240" w:after="240"/>
      <w:outlineLvl w:val="1"/>
    </w:pPr>
    <w:rPr>
      <w:rFonts w:eastAsiaTheme="majorEastAsia" w:cstheme="majorBidi"/>
      <w:b/>
      <w:caps/>
      <w:sz w:val="26"/>
      <w:szCs w:val="26"/>
      <w:lang w:val="haw-US"/>
    </w:rPr>
  </w:style>
  <w:style w:type="paragraph" w:styleId="Heading3">
    <w:name w:val="heading 3"/>
    <w:basedOn w:val="Normal"/>
    <w:next w:val="Normal"/>
    <w:link w:val="Heading3Char"/>
    <w:autoRedefine/>
    <w:uiPriority w:val="9"/>
    <w:unhideWhenUsed/>
    <w:qFormat/>
    <w:rsid w:val="004A231A"/>
    <w:pPr>
      <w:keepNext/>
      <w:keepLines/>
      <w:numPr>
        <w:numId w:val="1"/>
      </w:numPr>
      <w:spacing w:before="120" w:after="240"/>
      <w:outlineLvl w:val="2"/>
    </w:pPr>
    <w:rPr>
      <w:rFonts w:eastAsiaTheme="majorEastAsia" w:cstheme="majorBidi"/>
      <w:b/>
      <w:bCs/>
      <w:lang w:val="haw-US" w:eastAsia="ja-JP"/>
    </w:rPr>
  </w:style>
  <w:style w:type="paragraph" w:styleId="Heading4">
    <w:name w:val="heading 4"/>
    <w:basedOn w:val="Normal"/>
    <w:next w:val="Normal"/>
    <w:link w:val="Heading4Char"/>
    <w:uiPriority w:val="9"/>
    <w:unhideWhenUsed/>
    <w:qFormat/>
    <w:rsid w:val="002D09B4"/>
    <w:pPr>
      <w:spacing w:before="240" w:after="240"/>
      <w:ind w:left="360"/>
      <w:outlineLvl w:val="3"/>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12"/>
    <w:pPr>
      <w:tabs>
        <w:tab w:val="center" w:pos="4680"/>
        <w:tab w:val="right" w:pos="9360"/>
      </w:tabs>
    </w:pPr>
  </w:style>
  <w:style w:type="character" w:customStyle="1" w:styleId="HeaderChar">
    <w:name w:val="Header Char"/>
    <w:basedOn w:val="DefaultParagraphFont"/>
    <w:link w:val="Header"/>
    <w:uiPriority w:val="99"/>
    <w:rsid w:val="00821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1012"/>
    <w:pPr>
      <w:tabs>
        <w:tab w:val="center" w:pos="4680"/>
        <w:tab w:val="right" w:pos="9360"/>
      </w:tabs>
    </w:pPr>
  </w:style>
  <w:style w:type="character" w:customStyle="1" w:styleId="FooterChar">
    <w:name w:val="Footer Char"/>
    <w:basedOn w:val="DefaultParagraphFont"/>
    <w:link w:val="Footer"/>
    <w:uiPriority w:val="99"/>
    <w:rsid w:val="008210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E2F"/>
    <w:rPr>
      <w:rFonts w:ascii="Tahoma" w:hAnsi="Tahoma" w:cs="Tahoma"/>
      <w:sz w:val="16"/>
      <w:szCs w:val="16"/>
    </w:rPr>
  </w:style>
  <w:style w:type="character" w:customStyle="1" w:styleId="BalloonTextChar">
    <w:name w:val="Balloon Text Char"/>
    <w:basedOn w:val="DefaultParagraphFont"/>
    <w:link w:val="BalloonText"/>
    <w:uiPriority w:val="99"/>
    <w:semiHidden/>
    <w:rsid w:val="00EA3E2F"/>
    <w:rPr>
      <w:rFonts w:ascii="Tahoma" w:eastAsia="Times New Roman" w:hAnsi="Tahoma" w:cs="Tahoma"/>
      <w:sz w:val="16"/>
      <w:szCs w:val="16"/>
    </w:rPr>
  </w:style>
  <w:style w:type="paragraph" w:styleId="ListParagraph">
    <w:name w:val="List Paragraph"/>
    <w:basedOn w:val="Normal"/>
    <w:uiPriority w:val="34"/>
    <w:qFormat/>
    <w:rsid w:val="00457CAF"/>
    <w:pPr>
      <w:ind w:left="720"/>
      <w:contextualSpacing/>
    </w:pPr>
  </w:style>
  <w:style w:type="paragraph" w:styleId="NormalWeb">
    <w:name w:val="Normal (Web)"/>
    <w:basedOn w:val="Normal"/>
    <w:uiPriority w:val="99"/>
    <w:unhideWhenUsed/>
    <w:rsid w:val="00B62A41"/>
    <w:pPr>
      <w:spacing w:before="100" w:beforeAutospacing="1" w:after="100" w:afterAutospacing="1"/>
    </w:pPr>
    <w:rPr>
      <w:rFonts w:eastAsiaTheme="minorEastAsia"/>
    </w:rPr>
  </w:style>
  <w:style w:type="character" w:styleId="CommentReference">
    <w:name w:val="annotation reference"/>
    <w:basedOn w:val="DefaultParagraphFont"/>
    <w:unhideWhenUsed/>
    <w:rsid w:val="002B3661"/>
    <w:rPr>
      <w:sz w:val="16"/>
      <w:szCs w:val="16"/>
    </w:rPr>
  </w:style>
  <w:style w:type="paragraph" w:styleId="CommentText">
    <w:name w:val="annotation text"/>
    <w:basedOn w:val="Normal"/>
    <w:link w:val="CommentTextChar"/>
    <w:unhideWhenUsed/>
    <w:rsid w:val="002B3661"/>
    <w:rPr>
      <w:sz w:val="20"/>
      <w:szCs w:val="20"/>
    </w:rPr>
  </w:style>
  <w:style w:type="character" w:customStyle="1" w:styleId="CommentTextChar">
    <w:name w:val="Comment Text Char"/>
    <w:basedOn w:val="DefaultParagraphFont"/>
    <w:link w:val="CommentText"/>
    <w:uiPriority w:val="99"/>
    <w:rsid w:val="002B36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661"/>
    <w:rPr>
      <w:b/>
      <w:bCs/>
    </w:rPr>
  </w:style>
  <w:style w:type="character" w:customStyle="1" w:styleId="CommentSubjectChar">
    <w:name w:val="Comment Subject Char"/>
    <w:basedOn w:val="CommentTextChar"/>
    <w:link w:val="CommentSubject"/>
    <w:uiPriority w:val="99"/>
    <w:semiHidden/>
    <w:rsid w:val="002B3661"/>
    <w:rPr>
      <w:rFonts w:ascii="Times New Roman" w:eastAsia="Times New Roman" w:hAnsi="Times New Roman" w:cs="Times New Roman"/>
      <w:b/>
      <w:bCs/>
      <w:sz w:val="20"/>
      <w:szCs w:val="20"/>
    </w:rPr>
  </w:style>
  <w:style w:type="paragraph" w:customStyle="1" w:styleId="Default">
    <w:name w:val="Default"/>
    <w:basedOn w:val="Normal"/>
    <w:link w:val="DefaultChar"/>
    <w:rsid w:val="00E0148F"/>
    <w:pPr>
      <w:autoSpaceDE w:val="0"/>
      <w:autoSpaceDN w:val="0"/>
    </w:pPr>
    <w:rPr>
      <w:rFonts w:ascii="Calibri" w:eastAsiaTheme="minorHAnsi" w:hAnsi="Calibri" w:cs="Calibri"/>
      <w:color w:val="000000"/>
    </w:rPr>
  </w:style>
  <w:style w:type="character" w:customStyle="1" w:styleId="DefaultChar">
    <w:name w:val="Default Char"/>
    <w:link w:val="Default"/>
    <w:rsid w:val="00E0148F"/>
    <w:rPr>
      <w:rFonts w:ascii="Calibri" w:hAnsi="Calibri" w:cs="Calibri"/>
      <w:color w:val="000000"/>
      <w:sz w:val="24"/>
      <w:szCs w:val="24"/>
    </w:rPr>
  </w:style>
  <w:style w:type="paragraph" w:customStyle="1" w:styleId="CM21">
    <w:name w:val="CM21"/>
    <w:basedOn w:val="Default"/>
    <w:next w:val="Default"/>
    <w:link w:val="CM21Char"/>
    <w:rsid w:val="00E0148F"/>
    <w:pPr>
      <w:widowControl w:val="0"/>
      <w:adjustRightInd w:val="0"/>
      <w:spacing w:after="630"/>
    </w:pPr>
    <w:rPr>
      <w:rFonts w:ascii="Times New Roman" w:eastAsia="Times New Roman" w:hAnsi="Times New Roman" w:cs="Times New Roman"/>
    </w:rPr>
  </w:style>
  <w:style w:type="character" w:customStyle="1" w:styleId="CM21Char">
    <w:name w:val="CM21 Char"/>
    <w:basedOn w:val="DefaultChar"/>
    <w:link w:val="CM21"/>
    <w:rsid w:val="00E0148F"/>
    <w:rPr>
      <w:rFonts w:ascii="Times New Roman" w:eastAsia="Times New Roman" w:hAnsi="Times New Roman" w:cs="Times New Roman"/>
      <w:color w:val="000000"/>
      <w:sz w:val="24"/>
      <w:szCs w:val="24"/>
    </w:rPr>
  </w:style>
  <w:style w:type="paragraph" w:styleId="Revision">
    <w:name w:val="Revision"/>
    <w:hidden/>
    <w:uiPriority w:val="99"/>
    <w:semiHidden/>
    <w:rsid w:val="0058110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D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1D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2F8C"/>
    <w:rPr>
      <w:rFonts w:ascii="Times New Roman" w:eastAsiaTheme="majorEastAsia" w:hAnsi="Times New Roman" w:cstheme="majorBidi"/>
      <w:b/>
      <w:caps/>
      <w:sz w:val="28"/>
      <w:szCs w:val="32"/>
      <w:u w:val="single"/>
    </w:rPr>
  </w:style>
  <w:style w:type="paragraph" w:styleId="TOCHeading">
    <w:name w:val="TOC Heading"/>
    <w:basedOn w:val="Heading1"/>
    <w:next w:val="Normal"/>
    <w:uiPriority w:val="39"/>
    <w:unhideWhenUsed/>
    <w:qFormat/>
    <w:rsid w:val="006F00F1"/>
    <w:pPr>
      <w:spacing w:line="259" w:lineRule="auto"/>
      <w:outlineLvl w:val="9"/>
    </w:pPr>
  </w:style>
  <w:style w:type="paragraph" w:styleId="TOC1">
    <w:name w:val="toc 1"/>
    <w:basedOn w:val="Normal"/>
    <w:next w:val="Normal"/>
    <w:autoRedefine/>
    <w:uiPriority w:val="39"/>
    <w:unhideWhenUsed/>
    <w:rsid w:val="006F00F1"/>
    <w:pPr>
      <w:spacing w:after="100"/>
    </w:pPr>
  </w:style>
  <w:style w:type="character" w:styleId="Hyperlink">
    <w:name w:val="Hyperlink"/>
    <w:basedOn w:val="DefaultParagraphFont"/>
    <w:uiPriority w:val="99"/>
    <w:unhideWhenUsed/>
    <w:rsid w:val="006F00F1"/>
    <w:rPr>
      <w:color w:val="0000FF" w:themeColor="hyperlink"/>
      <w:u w:val="single"/>
    </w:rPr>
  </w:style>
  <w:style w:type="character" w:customStyle="1" w:styleId="Heading2Char">
    <w:name w:val="Heading 2 Char"/>
    <w:basedOn w:val="DefaultParagraphFont"/>
    <w:link w:val="Heading2"/>
    <w:uiPriority w:val="9"/>
    <w:rsid w:val="00D07DCB"/>
    <w:rPr>
      <w:rFonts w:ascii="Times New Roman" w:eastAsiaTheme="majorEastAsia" w:hAnsi="Times New Roman" w:cstheme="majorBidi"/>
      <w:b/>
      <w:caps/>
      <w:sz w:val="26"/>
      <w:szCs w:val="26"/>
      <w:lang w:val="haw-US"/>
    </w:rPr>
  </w:style>
  <w:style w:type="paragraph" w:styleId="TOC2">
    <w:name w:val="toc 2"/>
    <w:basedOn w:val="Normal"/>
    <w:next w:val="Normal"/>
    <w:autoRedefine/>
    <w:uiPriority w:val="39"/>
    <w:unhideWhenUsed/>
    <w:rsid w:val="009D0344"/>
    <w:pPr>
      <w:spacing w:after="100"/>
      <w:ind w:left="240"/>
    </w:pPr>
  </w:style>
  <w:style w:type="character" w:customStyle="1" w:styleId="Heading3Char">
    <w:name w:val="Heading 3 Char"/>
    <w:basedOn w:val="DefaultParagraphFont"/>
    <w:link w:val="Heading3"/>
    <w:uiPriority w:val="9"/>
    <w:rsid w:val="004A231A"/>
    <w:rPr>
      <w:rFonts w:ascii="Times New Roman" w:eastAsiaTheme="majorEastAsia" w:hAnsi="Times New Roman" w:cstheme="majorBidi"/>
      <w:b/>
      <w:bCs/>
      <w:sz w:val="24"/>
      <w:szCs w:val="24"/>
      <w:lang w:val="haw-US" w:eastAsia="ja-JP"/>
    </w:rPr>
  </w:style>
  <w:style w:type="paragraph" w:styleId="TOC3">
    <w:name w:val="toc 3"/>
    <w:basedOn w:val="Normal"/>
    <w:next w:val="Normal"/>
    <w:autoRedefine/>
    <w:uiPriority w:val="39"/>
    <w:unhideWhenUsed/>
    <w:rsid w:val="001F791A"/>
    <w:pPr>
      <w:tabs>
        <w:tab w:val="right" w:leader="dot" w:pos="9350"/>
      </w:tabs>
      <w:spacing w:after="100"/>
      <w:ind w:left="900" w:hanging="420"/>
    </w:pPr>
  </w:style>
  <w:style w:type="character" w:customStyle="1" w:styleId="Heading4Char">
    <w:name w:val="Heading 4 Char"/>
    <w:basedOn w:val="DefaultParagraphFont"/>
    <w:link w:val="Heading4"/>
    <w:uiPriority w:val="9"/>
    <w:rsid w:val="002D09B4"/>
    <w:rPr>
      <w:rFonts w:ascii="Times New Roman" w:eastAsia="Times New Roman" w:hAnsi="Times New Roman" w:cs="Times New Roman"/>
      <w:b/>
      <w:bCs/>
      <w:u w:val="single"/>
    </w:rPr>
  </w:style>
  <w:style w:type="paragraph" w:styleId="TOC4">
    <w:name w:val="toc 4"/>
    <w:basedOn w:val="Normal"/>
    <w:next w:val="Normal"/>
    <w:autoRedefine/>
    <w:uiPriority w:val="39"/>
    <w:unhideWhenUsed/>
    <w:rsid w:val="00E202CD"/>
    <w:pPr>
      <w:spacing w:after="100"/>
      <w:ind w:left="720"/>
    </w:pPr>
  </w:style>
  <w:style w:type="character" w:customStyle="1" w:styleId="CommentTextChar1">
    <w:name w:val="Comment Text Char1"/>
    <w:locked/>
    <w:rsid w:val="005F5C2D"/>
    <w:rPr>
      <w:rFonts w:ascii="Times New Roman" w:eastAsia="Times New Roman" w:hAnsi="Times New Roman" w:cs="Times New Roman"/>
      <w:sz w:val="20"/>
      <w:szCs w:val="20"/>
      <w:lang w:val="x-none" w:eastAsia="x-none"/>
    </w:rPr>
  </w:style>
  <w:style w:type="paragraph" w:customStyle="1" w:styleId="CM23">
    <w:name w:val="CM23"/>
    <w:basedOn w:val="Default"/>
    <w:next w:val="Default"/>
    <w:rsid w:val="005F5C2D"/>
    <w:pPr>
      <w:widowControl w:val="0"/>
      <w:adjustRightInd w:val="0"/>
      <w:spacing w:after="1015"/>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8644">
      <w:bodyDiv w:val="1"/>
      <w:marLeft w:val="0"/>
      <w:marRight w:val="0"/>
      <w:marTop w:val="0"/>
      <w:marBottom w:val="0"/>
      <w:divBdr>
        <w:top w:val="none" w:sz="0" w:space="0" w:color="auto"/>
        <w:left w:val="none" w:sz="0" w:space="0" w:color="auto"/>
        <w:bottom w:val="none" w:sz="0" w:space="0" w:color="auto"/>
        <w:right w:val="none" w:sz="0" w:space="0" w:color="auto"/>
      </w:divBdr>
    </w:div>
    <w:div w:id="175389376">
      <w:bodyDiv w:val="1"/>
      <w:marLeft w:val="0"/>
      <w:marRight w:val="0"/>
      <w:marTop w:val="0"/>
      <w:marBottom w:val="0"/>
      <w:divBdr>
        <w:top w:val="none" w:sz="0" w:space="0" w:color="auto"/>
        <w:left w:val="none" w:sz="0" w:space="0" w:color="auto"/>
        <w:bottom w:val="none" w:sz="0" w:space="0" w:color="auto"/>
        <w:right w:val="none" w:sz="0" w:space="0" w:color="auto"/>
      </w:divBdr>
    </w:div>
    <w:div w:id="502359163">
      <w:bodyDiv w:val="1"/>
      <w:marLeft w:val="0"/>
      <w:marRight w:val="0"/>
      <w:marTop w:val="0"/>
      <w:marBottom w:val="0"/>
      <w:divBdr>
        <w:top w:val="none" w:sz="0" w:space="0" w:color="auto"/>
        <w:left w:val="none" w:sz="0" w:space="0" w:color="auto"/>
        <w:bottom w:val="none" w:sz="0" w:space="0" w:color="auto"/>
        <w:right w:val="none" w:sz="0" w:space="0" w:color="auto"/>
      </w:divBdr>
    </w:div>
    <w:div w:id="849950638">
      <w:bodyDiv w:val="1"/>
      <w:marLeft w:val="0"/>
      <w:marRight w:val="0"/>
      <w:marTop w:val="0"/>
      <w:marBottom w:val="0"/>
      <w:divBdr>
        <w:top w:val="none" w:sz="0" w:space="0" w:color="auto"/>
        <w:left w:val="none" w:sz="0" w:space="0" w:color="auto"/>
        <w:bottom w:val="none" w:sz="0" w:space="0" w:color="auto"/>
        <w:right w:val="none" w:sz="0" w:space="0" w:color="auto"/>
      </w:divBdr>
    </w:div>
    <w:div w:id="990598367">
      <w:bodyDiv w:val="1"/>
      <w:marLeft w:val="0"/>
      <w:marRight w:val="0"/>
      <w:marTop w:val="0"/>
      <w:marBottom w:val="0"/>
      <w:divBdr>
        <w:top w:val="none" w:sz="0" w:space="0" w:color="auto"/>
        <w:left w:val="none" w:sz="0" w:space="0" w:color="auto"/>
        <w:bottom w:val="none" w:sz="0" w:space="0" w:color="auto"/>
        <w:right w:val="none" w:sz="0" w:space="0" w:color="auto"/>
      </w:divBdr>
    </w:div>
    <w:div w:id="1307054021">
      <w:bodyDiv w:val="1"/>
      <w:marLeft w:val="0"/>
      <w:marRight w:val="0"/>
      <w:marTop w:val="0"/>
      <w:marBottom w:val="0"/>
      <w:divBdr>
        <w:top w:val="none" w:sz="0" w:space="0" w:color="auto"/>
        <w:left w:val="none" w:sz="0" w:space="0" w:color="auto"/>
        <w:bottom w:val="none" w:sz="0" w:space="0" w:color="auto"/>
        <w:right w:val="none" w:sz="0" w:space="0" w:color="auto"/>
      </w:divBdr>
    </w:div>
    <w:div w:id="1317807208">
      <w:bodyDiv w:val="1"/>
      <w:marLeft w:val="0"/>
      <w:marRight w:val="0"/>
      <w:marTop w:val="0"/>
      <w:marBottom w:val="0"/>
      <w:divBdr>
        <w:top w:val="none" w:sz="0" w:space="0" w:color="auto"/>
        <w:left w:val="none" w:sz="0" w:space="0" w:color="auto"/>
        <w:bottom w:val="none" w:sz="0" w:space="0" w:color="auto"/>
        <w:right w:val="none" w:sz="0" w:space="0" w:color="auto"/>
      </w:divBdr>
    </w:div>
    <w:div w:id="1463574837">
      <w:bodyDiv w:val="1"/>
      <w:marLeft w:val="0"/>
      <w:marRight w:val="0"/>
      <w:marTop w:val="0"/>
      <w:marBottom w:val="0"/>
      <w:divBdr>
        <w:top w:val="none" w:sz="0" w:space="0" w:color="auto"/>
        <w:left w:val="none" w:sz="0" w:space="0" w:color="auto"/>
        <w:bottom w:val="none" w:sz="0" w:space="0" w:color="auto"/>
        <w:right w:val="none" w:sz="0" w:space="0" w:color="auto"/>
      </w:divBdr>
    </w:div>
    <w:div w:id="1490172136">
      <w:bodyDiv w:val="1"/>
      <w:marLeft w:val="0"/>
      <w:marRight w:val="0"/>
      <w:marTop w:val="0"/>
      <w:marBottom w:val="0"/>
      <w:divBdr>
        <w:top w:val="none" w:sz="0" w:space="0" w:color="auto"/>
        <w:left w:val="none" w:sz="0" w:space="0" w:color="auto"/>
        <w:bottom w:val="none" w:sz="0" w:space="0" w:color="auto"/>
        <w:right w:val="none" w:sz="0" w:space="0" w:color="auto"/>
      </w:divBdr>
    </w:div>
    <w:div w:id="1559776722">
      <w:bodyDiv w:val="1"/>
      <w:marLeft w:val="0"/>
      <w:marRight w:val="0"/>
      <w:marTop w:val="0"/>
      <w:marBottom w:val="0"/>
      <w:divBdr>
        <w:top w:val="none" w:sz="0" w:space="0" w:color="auto"/>
        <w:left w:val="none" w:sz="0" w:space="0" w:color="auto"/>
        <w:bottom w:val="none" w:sz="0" w:space="0" w:color="auto"/>
        <w:right w:val="none" w:sz="0" w:space="0" w:color="auto"/>
      </w:divBdr>
    </w:div>
    <w:div w:id="1682781028">
      <w:bodyDiv w:val="1"/>
      <w:marLeft w:val="0"/>
      <w:marRight w:val="0"/>
      <w:marTop w:val="0"/>
      <w:marBottom w:val="0"/>
      <w:divBdr>
        <w:top w:val="none" w:sz="0" w:space="0" w:color="auto"/>
        <w:left w:val="none" w:sz="0" w:space="0" w:color="auto"/>
        <w:bottom w:val="none" w:sz="0" w:space="0" w:color="auto"/>
        <w:right w:val="none" w:sz="0" w:space="0" w:color="auto"/>
      </w:divBdr>
    </w:div>
    <w:div w:id="1921402084">
      <w:bodyDiv w:val="1"/>
      <w:marLeft w:val="0"/>
      <w:marRight w:val="0"/>
      <w:marTop w:val="0"/>
      <w:marBottom w:val="0"/>
      <w:divBdr>
        <w:top w:val="none" w:sz="0" w:space="0" w:color="auto"/>
        <w:left w:val="none" w:sz="0" w:space="0" w:color="auto"/>
        <w:bottom w:val="none" w:sz="0" w:space="0" w:color="auto"/>
        <w:right w:val="none" w:sz="0" w:space="0" w:color="auto"/>
      </w:divBdr>
    </w:div>
    <w:div w:id="21298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2021-09-24T07:45:00Z</dcterms:created>
  <dcterms:modified xsi:type="dcterms:W3CDTF">2021-09-24T08:05:00Z</dcterms:modified>
</cp:coreProperties>
</file>